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FD3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ascii="宋体" w:hAnsi="宋体" w:eastAsia="宋体" w:cs="宋体"/>
          <w:b/>
          <w:sz w:val="30"/>
          <w:szCs w:val="30"/>
        </w:rPr>
      </w:pPr>
      <w:r>
        <w:rPr>
          <w:rFonts w:hint="eastAsia" w:ascii="黑体" w:hAnsi="黑体" w:eastAsia="黑体" w:cs="黑体"/>
          <w:b w:val="0"/>
          <w:bCs/>
          <w:color w:val="auto"/>
          <w:sz w:val="30"/>
          <w:szCs w:val="30"/>
          <w:lang w:val="en-US" w:eastAsia="zh-CN"/>
        </w:rPr>
        <w:t>附件2</w:t>
      </w:r>
    </w:p>
    <w:p w14:paraId="2982DC86">
      <w:pPr>
        <w:jc w:val="center"/>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机械行业新能源电池技术及充放电测试研发技术</w:t>
      </w:r>
    </w:p>
    <w:p w14:paraId="2DA846DD">
      <w:pPr>
        <w:jc w:val="center"/>
        <w:rPr>
          <w:rFonts w:ascii="宋体" w:hAnsi="宋体" w:eastAsia="宋体" w:cs="宋体"/>
          <w:b/>
          <w:sz w:val="40"/>
          <w:szCs w:val="40"/>
        </w:rPr>
      </w:pPr>
      <w:r>
        <w:rPr>
          <w:rFonts w:hint="eastAsia" w:ascii="方正小标宋_GBK" w:hAnsi="方正小标宋_GBK" w:eastAsia="方正小标宋_GBK" w:cs="方正小标宋_GBK"/>
          <w:b w:val="0"/>
          <w:bCs/>
          <w:sz w:val="36"/>
          <w:szCs w:val="36"/>
        </w:rPr>
        <w:t>产教融创中心项目建设方案</w:t>
      </w:r>
    </w:p>
    <w:p w14:paraId="68BD3437">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黑体" w:hAnsi="黑体" w:eastAsia="黑体" w:cs="黑体"/>
          <w:b w:val="0"/>
          <w:bCs/>
          <w:sz w:val="30"/>
          <w:szCs w:val="30"/>
          <w:lang w:val="en-US" w:eastAsia="zh-CN"/>
        </w:rPr>
      </w:pPr>
      <w:r>
        <w:rPr>
          <w:rFonts w:hint="eastAsia" w:ascii="黑体" w:hAnsi="黑体" w:eastAsia="黑体" w:cs="黑体"/>
          <w:b w:val="0"/>
          <w:bCs/>
          <w:sz w:val="30"/>
          <w:szCs w:val="30"/>
          <w:lang w:val="en-US" w:eastAsia="zh-CN" w:bidi="ar-SA"/>
        </w:rPr>
        <w:t>一、</w:t>
      </w:r>
      <w:r>
        <w:rPr>
          <w:rFonts w:hint="eastAsia" w:ascii="黑体" w:hAnsi="黑体" w:eastAsia="黑体" w:cs="黑体"/>
          <w:b w:val="0"/>
          <w:bCs/>
          <w:sz w:val="30"/>
          <w:szCs w:val="30"/>
          <w:lang w:val="en-US" w:eastAsia="zh-CN"/>
        </w:rPr>
        <w:t>总体情况</w:t>
      </w:r>
    </w:p>
    <w:p w14:paraId="45CB9BA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firstLineChars="200"/>
        <w:jc w:val="both"/>
        <w:textAlignment w:val="auto"/>
        <w:rPr>
          <w:rFonts w:hint="eastAsia" w:ascii="方正楷体_GB2312" w:hAnsi="方正楷体_GB2312" w:eastAsia="方正楷体_GB2312" w:cs="方正楷体_GB2312"/>
          <w:b/>
          <w:bCs/>
          <w:sz w:val="30"/>
          <w:szCs w:val="30"/>
          <w:lang w:val="en-US" w:eastAsia="zh-CN"/>
        </w:rPr>
      </w:pPr>
      <w:r>
        <w:rPr>
          <w:rFonts w:hint="eastAsia" w:ascii="方正楷体_GB2312" w:hAnsi="方正楷体_GB2312" w:eastAsia="方正楷体_GB2312" w:cs="方正楷体_GB2312"/>
          <w:b/>
          <w:bCs/>
          <w:sz w:val="30"/>
          <w:szCs w:val="30"/>
          <w:lang w:val="en-US" w:eastAsia="zh-CN"/>
        </w:rPr>
        <w:t>（一）背景和目标</w:t>
      </w:r>
    </w:p>
    <w:p w14:paraId="2F498499">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sz w:val="30"/>
          <w:szCs w:val="30"/>
          <w:lang w:val="en-US" w:eastAsia="zh-CN"/>
        </w:rPr>
      </w:pPr>
      <w:r>
        <w:rPr>
          <w:rFonts w:hint="default" w:ascii="仿宋_GB2312" w:hAnsi="仿宋_GB2312" w:eastAsia="仿宋_GB2312" w:cs="仿宋_GB2312"/>
          <w:b/>
          <w:bCs w:val="0"/>
          <w:sz w:val="30"/>
          <w:szCs w:val="30"/>
          <w:lang w:val="en-US" w:eastAsia="zh-CN"/>
        </w:rPr>
        <w:t>1.</w:t>
      </w:r>
      <w:r>
        <w:rPr>
          <w:rFonts w:hint="eastAsia" w:ascii="仿宋_GB2312" w:hAnsi="仿宋_GB2312" w:eastAsia="仿宋_GB2312" w:cs="仿宋_GB2312"/>
          <w:b/>
          <w:bCs w:val="0"/>
          <w:sz w:val="30"/>
          <w:szCs w:val="30"/>
          <w:lang w:val="en-US" w:eastAsia="zh-CN"/>
        </w:rPr>
        <w:t>项目背景：</w:t>
      </w:r>
      <w:r>
        <w:rPr>
          <w:rFonts w:hint="default" w:ascii="仿宋_GB2312" w:hAnsi="仿宋_GB2312" w:eastAsia="仿宋_GB2312" w:cs="仿宋_GB2312"/>
          <w:sz w:val="30"/>
          <w:szCs w:val="30"/>
          <w:lang w:val="en-US" w:eastAsia="zh-CN"/>
        </w:rPr>
        <w:t>当前，我国新能源汽车产业在国家政策有力引导与市场驱动下实现跨越式发展，产销量位居全球首位，预计到2025年</w:t>
      </w:r>
      <w:r>
        <w:rPr>
          <w:rFonts w:hint="eastAsia" w:ascii="仿宋_GB2312" w:hAnsi="仿宋_GB2312" w:eastAsia="仿宋_GB2312" w:cs="仿宋_GB2312"/>
          <w:sz w:val="30"/>
          <w:szCs w:val="30"/>
          <w:lang w:val="en-US" w:eastAsia="zh-CN"/>
        </w:rPr>
        <w:t>底</w:t>
      </w:r>
      <w:r>
        <w:rPr>
          <w:rFonts w:hint="default" w:ascii="仿宋_GB2312" w:hAnsi="仿宋_GB2312" w:eastAsia="仿宋_GB2312" w:cs="仿宋_GB2312"/>
          <w:sz w:val="30"/>
          <w:szCs w:val="30"/>
          <w:lang w:val="en-US" w:eastAsia="zh-CN"/>
        </w:rPr>
        <w:t>销量将突破1200万辆，</w:t>
      </w:r>
      <w:r>
        <w:rPr>
          <w:rFonts w:hint="eastAsia" w:ascii="仿宋_GB2312" w:hAnsi="仿宋_GB2312" w:eastAsia="仿宋_GB2312" w:cs="仿宋_GB2312"/>
          <w:sz w:val="30"/>
          <w:szCs w:val="30"/>
          <w:lang w:val="en-US" w:eastAsia="zh-CN"/>
        </w:rPr>
        <w:t>社会</w:t>
      </w:r>
      <w:r>
        <w:rPr>
          <w:rFonts w:hint="default" w:ascii="仿宋_GB2312" w:hAnsi="仿宋_GB2312" w:eastAsia="仿宋_GB2312" w:cs="仿宋_GB2312"/>
          <w:sz w:val="30"/>
          <w:szCs w:val="30"/>
          <w:lang w:val="en-US" w:eastAsia="zh-CN"/>
        </w:rPr>
        <w:t>保有量持续</w:t>
      </w:r>
      <w:r>
        <w:rPr>
          <w:rFonts w:hint="eastAsia" w:ascii="仿宋_GB2312" w:hAnsi="仿宋_GB2312" w:eastAsia="仿宋_GB2312" w:cs="仿宋_GB2312"/>
          <w:sz w:val="30"/>
          <w:szCs w:val="30"/>
          <w:lang w:val="en-US" w:eastAsia="zh-CN"/>
        </w:rPr>
        <w:t>攀升，产业规模效应日益凸显</w:t>
      </w:r>
      <w:r>
        <w:rPr>
          <w:rFonts w:hint="default"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lang w:val="en-US" w:eastAsia="zh-CN"/>
        </w:rPr>
        <w:t>随着</w:t>
      </w:r>
      <w:r>
        <w:rPr>
          <w:rFonts w:hint="default" w:ascii="仿宋_GB2312" w:hAnsi="仿宋_GB2312" w:eastAsia="仿宋_GB2312" w:cs="仿宋_GB2312"/>
          <w:sz w:val="30"/>
          <w:szCs w:val="30"/>
          <w:lang w:val="en-US" w:eastAsia="zh-CN"/>
        </w:rPr>
        <w:t>产业</w:t>
      </w:r>
      <w:r>
        <w:rPr>
          <w:rFonts w:hint="eastAsia" w:ascii="仿宋_GB2312" w:hAnsi="仿宋_GB2312" w:eastAsia="仿宋_GB2312" w:cs="仿宋_GB2312"/>
          <w:sz w:val="30"/>
          <w:szCs w:val="30"/>
          <w:lang w:val="en-US" w:eastAsia="zh-CN"/>
        </w:rPr>
        <w:t>向</w:t>
      </w:r>
      <w:r>
        <w:rPr>
          <w:rFonts w:hint="default" w:ascii="仿宋_GB2312" w:hAnsi="仿宋_GB2312" w:eastAsia="仿宋_GB2312" w:cs="仿宋_GB2312"/>
          <w:sz w:val="30"/>
          <w:szCs w:val="30"/>
          <w:lang w:val="en-US" w:eastAsia="zh-CN"/>
        </w:rPr>
        <w:t>规模化、智能化</w:t>
      </w:r>
      <w:r>
        <w:rPr>
          <w:rFonts w:hint="eastAsia" w:ascii="仿宋_GB2312" w:hAnsi="仿宋_GB2312" w:eastAsia="仿宋_GB2312" w:cs="仿宋_GB2312"/>
          <w:sz w:val="30"/>
          <w:szCs w:val="30"/>
          <w:lang w:val="en-US" w:eastAsia="zh-CN"/>
        </w:rPr>
        <w:t>、绿色化转型，</w:t>
      </w:r>
      <w:r>
        <w:rPr>
          <w:rFonts w:hint="default" w:ascii="仿宋_GB2312" w:hAnsi="仿宋_GB2312" w:eastAsia="仿宋_GB2312" w:cs="仿宋_GB2312"/>
          <w:sz w:val="30"/>
          <w:szCs w:val="30"/>
          <w:lang w:val="en-US" w:eastAsia="zh-CN"/>
        </w:rPr>
        <w:t>后端技术支撑与人才保障</w:t>
      </w:r>
      <w:r>
        <w:rPr>
          <w:rFonts w:hint="eastAsia" w:ascii="仿宋_GB2312" w:hAnsi="仿宋_GB2312" w:eastAsia="仿宋_GB2312" w:cs="仿宋_GB2312"/>
          <w:sz w:val="30"/>
          <w:szCs w:val="30"/>
          <w:lang w:val="en-US" w:eastAsia="zh-CN"/>
        </w:rPr>
        <w:t>已成为推动产业健康可持续发展的关键环节</w:t>
      </w:r>
      <w:r>
        <w:rPr>
          <w:rFonts w:hint="default"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lang w:val="en-US" w:eastAsia="zh-CN"/>
        </w:rPr>
        <w:t>随着</w:t>
      </w:r>
      <w:r>
        <w:rPr>
          <w:rFonts w:hint="default" w:ascii="仿宋_GB2312" w:hAnsi="仿宋_GB2312" w:eastAsia="仿宋_GB2312" w:cs="仿宋_GB2312"/>
          <w:sz w:val="30"/>
          <w:szCs w:val="30"/>
          <w:lang w:val="en-US" w:eastAsia="zh-CN"/>
        </w:rPr>
        <w:t>动力电池</w:t>
      </w:r>
      <w:r>
        <w:rPr>
          <w:rFonts w:hint="eastAsia" w:ascii="仿宋_GB2312" w:hAnsi="仿宋_GB2312" w:eastAsia="仿宋_GB2312" w:cs="仿宋_GB2312"/>
          <w:sz w:val="30"/>
          <w:szCs w:val="30"/>
          <w:lang w:val="en-US" w:eastAsia="zh-CN"/>
        </w:rPr>
        <w:t>大规模进入出保期</w:t>
      </w:r>
      <w:r>
        <w:rPr>
          <w:rFonts w:hint="default" w:ascii="仿宋_GB2312" w:hAnsi="仿宋_GB2312" w:eastAsia="仿宋_GB2312" w:cs="仿宋_GB2312"/>
          <w:sz w:val="30"/>
          <w:szCs w:val="30"/>
          <w:lang w:val="en-US" w:eastAsia="zh-CN"/>
        </w:rPr>
        <w:t>，检测评估、梯次利用、安全维护等后市场服务需求集中释放，</w:t>
      </w:r>
      <w:r>
        <w:rPr>
          <w:rFonts w:hint="eastAsia" w:ascii="仿宋_GB2312" w:hAnsi="仿宋_GB2312" w:eastAsia="仿宋_GB2312" w:cs="仿宋_GB2312"/>
          <w:sz w:val="30"/>
          <w:szCs w:val="30"/>
          <w:lang w:val="en-US" w:eastAsia="zh-CN"/>
        </w:rPr>
        <w:t>相关领域</w:t>
      </w:r>
      <w:r>
        <w:rPr>
          <w:rFonts w:hint="default" w:ascii="仿宋_GB2312" w:hAnsi="仿宋_GB2312" w:eastAsia="仿宋_GB2312" w:cs="仿宋_GB2312"/>
          <w:sz w:val="30"/>
          <w:szCs w:val="30"/>
          <w:lang w:val="en-US" w:eastAsia="zh-CN"/>
        </w:rPr>
        <w:t>专业人才缺口</w:t>
      </w:r>
      <w:r>
        <w:rPr>
          <w:rFonts w:hint="eastAsia" w:ascii="仿宋_GB2312" w:hAnsi="仿宋_GB2312" w:eastAsia="仿宋_GB2312" w:cs="仿宋_GB2312"/>
          <w:sz w:val="30"/>
          <w:szCs w:val="30"/>
          <w:lang w:val="en-US" w:eastAsia="zh-CN"/>
        </w:rPr>
        <w:t>持续扩大。同时，</w:t>
      </w:r>
      <w:r>
        <w:rPr>
          <w:rFonts w:hint="default" w:ascii="仿宋_GB2312" w:hAnsi="仿宋_GB2312" w:eastAsia="仿宋_GB2312" w:cs="仿宋_GB2312"/>
          <w:sz w:val="30"/>
          <w:szCs w:val="30"/>
          <w:lang w:val="en-US" w:eastAsia="zh-CN"/>
        </w:rPr>
        <w:t>为满足</w:t>
      </w:r>
      <w:r>
        <w:rPr>
          <w:rFonts w:hint="eastAsia" w:ascii="仿宋_GB2312" w:hAnsi="仿宋_GB2312" w:eastAsia="仿宋_GB2312" w:cs="仿宋_GB2312"/>
          <w:sz w:val="30"/>
          <w:szCs w:val="30"/>
          <w:lang w:val="en-US" w:eastAsia="zh-CN"/>
        </w:rPr>
        <w:t>日益增长的</w:t>
      </w:r>
      <w:r>
        <w:rPr>
          <w:rFonts w:hint="default" w:ascii="仿宋_GB2312" w:hAnsi="仿宋_GB2312" w:eastAsia="仿宋_GB2312" w:cs="仿宋_GB2312"/>
          <w:sz w:val="30"/>
          <w:szCs w:val="30"/>
          <w:lang w:val="en-US" w:eastAsia="zh-CN"/>
        </w:rPr>
        <w:t>补能需求，</w:t>
      </w:r>
      <w:r>
        <w:rPr>
          <w:rFonts w:hint="eastAsia" w:ascii="仿宋_GB2312" w:hAnsi="仿宋_GB2312" w:eastAsia="仿宋_GB2312" w:cs="仿宋_GB2312"/>
          <w:sz w:val="30"/>
          <w:szCs w:val="30"/>
          <w:lang w:val="en-US" w:eastAsia="zh-CN"/>
        </w:rPr>
        <w:t>我国</w:t>
      </w:r>
      <w:r>
        <w:rPr>
          <w:rFonts w:hint="default" w:ascii="仿宋_GB2312" w:hAnsi="仿宋_GB2312" w:eastAsia="仿宋_GB2312" w:cs="仿宋_GB2312"/>
          <w:sz w:val="30"/>
          <w:szCs w:val="30"/>
          <w:lang w:val="en-US" w:eastAsia="zh-CN"/>
        </w:rPr>
        <w:t>公共充电设施</w:t>
      </w:r>
      <w:r>
        <w:rPr>
          <w:rFonts w:hint="eastAsia" w:ascii="仿宋_GB2312" w:hAnsi="仿宋_GB2312" w:eastAsia="仿宋_GB2312" w:cs="仿宋_GB2312"/>
          <w:sz w:val="30"/>
          <w:szCs w:val="30"/>
          <w:lang w:val="en-US" w:eastAsia="zh-CN"/>
        </w:rPr>
        <w:t>建设加快推进</w:t>
      </w:r>
      <w:r>
        <w:rPr>
          <w:rFonts w:hint="default" w:ascii="仿宋_GB2312" w:hAnsi="仿宋_GB2312" w:eastAsia="仿宋_GB2312" w:cs="仿宋_GB2312"/>
          <w:sz w:val="30"/>
          <w:szCs w:val="30"/>
          <w:lang w:val="en-US" w:eastAsia="zh-CN"/>
        </w:rPr>
        <w:t>，预计2025年末全国充电场站总量将</w:t>
      </w:r>
      <w:r>
        <w:rPr>
          <w:rFonts w:hint="eastAsia" w:ascii="仿宋_GB2312" w:hAnsi="仿宋_GB2312" w:eastAsia="仿宋_GB2312" w:cs="仿宋_GB2312"/>
          <w:sz w:val="30"/>
          <w:szCs w:val="30"/>
          <w:lang w:val="en-US" w:eastAsia="zh-CN"/>
        </w:rPr>
        <w:t>突破</w:t>
      </w:r>
      <w:r>
        <w:rPr>
          <w:rFonts w:hint="default" w:ascii="仿宋_GB2312" w:hAnsi="仿宋_GB2312" w:eastAsia="仿宋_GB2312" w:cs="仿宋_GB2312"/>
          <w:sz w:val="30"/>
          <w:szCs w:val="30"/>
          <w:lang w:val="en-US" w:eastAsia="zh-CN"/>
        </w:rPr>
        <w:t>30万座，对设施运维、系统检测及技术升级等方面的</w:t>
      </w:r>
      <w:r>
        <w:rPr>
          <w:rFonts w:hint="eastAsia" w:ascii="仿宋_GB2312" w:hAnsi="仿宋_GB2312" w:eastAsia="仿宋_GB2312" w:cs="仿宋_GB2312"/>
          <w:sz w:val="30"/>
          <w:szCs w:val="30"/>
          <w:lang w:val="en-US" w:eastAsia="zh-CN"/>
        </w:rPr>
        <w:t>专业</w:t>
      </w:r>
      <w:r>
        <w:rPr>
          <w:rFonts w:hint="default" w:ascii="仿宋_GB2312" w:hAnsi="仿宋_GB2312" w:eastAsia="仿宋_GB2312" w:cs="仿宋_GB2312"/>
          <w:sz w:val="30"/>
          <w:szCs w:val="30"/>
          <w:lang w:val="en-US" w:eastAsia="zh-CN"/>
        </w:rPr>
        <w:t>人才供给</w:t>
      </w:r>
      <w:r>
        <w:rPr>
          <w:rFonts w:hint="eastAsia" w:ascii="仿宋_GB2312" w:hAnsi="仿宋_GB2312" w:eastAsia="仿宋_GB2312" w:cs="仿宋_GB2312"/>
          <w:sz w:val="30"/>
          <w:szCs w:val="30"/>
          <w:lang w:val="en-US" w:eastAsia="zh-CN"/>
        </w:rPr>
        <w:t>压力持续加大</w:t>
      </w:r>
      <w:r>
        <w:rPr>
          <w:rFonts w:hint="default" w:ascii="仿宋_GB2312" w:hAnsi="仿宋_GB2312" w:eastAsia="仿宋_GB2312" w:cs="仿宋_GB2312"/>
          <w:sz w:val="30"/>
          <w:szCs w:val="30"/>
          <w:lang w:val="en-US" w:eastAsia="zh-CN"/>
        </w:rPr>
        <w:t>。</w:t>
      </w:r>
    </w:p>
    <w:p w14:paraId="0A388365">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00" w:firstLineChars="200"/>
        <w:jc w:val="both"/>
        <w:textAlignment w:val="auto"/>
        <w:rPr>
          <w:rFonts w:hint="default" w:ascii="仿宋_GB2312" w:hAnsi="仿宋_GB2312" w:eastAsia="仿宋_GB2312" w:cs="仿宋_GB2312"/>
          <w:b w:val="0"/>
          <w:bCs/>
          <w:sz w:val="30"/>
          <w:szCs w:val="30"/>
          <w:lang w:val="en-US" w:eastAsia="zh-CN"/>
        </w:rPr>
      </w:pPr>
      <w:r>
        <w:rPr>
          <w:rFonts w:hint="eastAsia" w:ascii="仿宋_GB2312" w:hAnsi="仿宋_GB2312" w:eastAsia="仿宋_GB2312" w:cs="仿宋_GB2312"/>
          <w:sz w:val="30"/>
          <w:szCs w:val="30"/>
          <w:lang w:val="en-US" w:eastAsia="zh-CN"/>
        </w:rPr>
        <w:t>动力电池技术加速迭代，新材料、新体系不断突破，关键性能持续提升，对从业人员知识结构、技术能力与实践水平提出更高要求。然而，职业院校在相关领域专业建设仍相对滞后，教学资源更新缓慢，实训条件与企业实岗存在差距，“双师型”师资供给不足，制约了高素质技术技能人才的系统培养。</w:t>
      </w:r>
      <w:r>
        <w:rPr>
          <w:rFonts w:hint="default" w:ascii="仿宋_GB2312" w:hAnsi="仿宋_GB2312" w:eastAsia="仿宋_GB2312" w:cs="仿宋_GB2312"/>
          <w:sz w:val="30"/>
          <w:szCs w:val="30"/>
          <w:lang w:val="en-US" w:eastAsia="zh-CN"/>
        </w:rPr>
        <w:t>面对新形势新要求，深化产教融合、推动校企协同育人已成为提升人才培养质量、服务产业转型升级的必然路径。</w:t>
      </w:r>
    </w:p>
    <w:p w14:paraId="6D67D79A">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02" w:firstLineChars="200"/>
        <w:jc w:val="both"/>
        <w:textAlignment w:val="auto"/>
        <w:rPr>
          <w:rFonts w:hint="default" w:ascii="仿宋_GB2312" w:hAnsi="仿宋_GB2312" w:eastAsia="仿宋_GB2312" w:cs="仿宋_GB2312"/>
          <w:b w:val="0"/>
          <w:bCs/>
          <w:sz w:val="30"/>
          <w:szCs w:val="30"/>
          <w:lang w:val="en-US" w:eastAsia="zh-CN"/>
        </w:rPr>
      </w:pPr>
      <w:r>
        <w:rPr>
          <w:rFonts w:hint="eastAsia" w:ascii="仿宋_GB2312" w:hAnsi="仿宋_GB2312" w:eastAsia="仿宋_GB2312" w:cs="仿宋_GB2312"/>
          <w:b/>
          <w:bCs w:val="0"/>
          <w:sz w:val="30"/>
          <w:szCs w:val="30"/>
          <w:lang w:val="en-US" w:eastAsia="zh-CN"/>
        </w:rPr>
        <w:t>2.项</w:t>
      </w:r>
      <w:r>
        <w:rPr>
          <w:rFonts w:hint="eastAsia" w:ascii="仿宋_GB2312" w:hAnsi="仿宋_GB2312" w:eastAsia="仿宋_GB2312" w:cs="仿宋_GB2312"/>
          <w:b/>
          <w:bCs w:val="0"/>
          <w:color w:val="auto"/>
          <w:sz w:val="30"/>
          <w:szCs w:val="30"/>
          <w:lang w:val="en-US" w:eastAsia="zh-CN"/>
        </w:rPr>
        <w:t>目目标：</w:t>
      </w:r>
      <w:r>
        <w:rPr>
          <w:rFonts w:hint="eastAsia" w:ascii="仿宋_GB2312" w:hAnsi="仿宋_GB2312" w:eastAsia="仿宋_GB2312" w:cs="仿宋_GB2312"/>
          <w:b w:val="0"/>
          <w:bCs/>
          <w:color w:val="auto"/>
          <w:sz w:val="30"/>
          <w:szCs w:val="30"/>
          <w:lang w:val="en-US" w:eastAsia="zh-CN"/>
        </w:rPr>
        <w:t>宁德时代新能源科技股份有限公司、领充新能源科技有限公司、吉林省翱瑞科技股份有限公司联合职业院校，计划在3年内，围绕新能源汽车动力电池后市场和充放电研</w:t>
      </w:r>
      <w:r>
        <w:rPr>
          <w:rFonts w:hint="eastAsia" w:ascii="仿宋_GB2312" w:hAnsi="仿宋_GB2312" w:eastAsia="仿宋_GB2312" w:cs="仿宋_GB2312"/>
          <w:b w:val="0"/>
          <w:bCs/>
          <w:sz w:val="30"/>
          <w:szCs w:val="30"/>
          <w:lang w:val="en-US" w:eastAsia="zh-CN"/>
        </w:rPr>
        <w:t>发测试技术，建设50个左右集实践教学、技术研发与社会服务于一体产教融创中心。通过校企协同开发生产性实践项目，系统打通新能源领域</w:t>
      </w:r>
      <w:r>
        <w:rPr>
          <w:rFonts w:hint="default" w:ascii="仿宋_GB2312" w:hAnsi="仿宋_GB2312" w:eastAsia="仿宋_GB2312" w:cs="仿宋_GB2312"/>
          <w:b w:val="0"/>
          <w:bCs/>
          <w:sz w:val="30"/>
          <w:szCs w:val="30"/>
          <w:lang w:val="en-US" w:eastAsia="zh-CN"/>
        </w:rPr>
        <w:t>产业链、教育链、创新链、人才链</w:t>
      </w:r>
      <w:r>
        <w:rPr>
          <w:rFonts w:hint="eastAsia" w:ascii="仿宋_GB2312" w:hAnsi="仿宋_GB2312" w:eastAsia="仿宋_GB2312" w:cs="仿宋_GB2312"/>
          <w:b w:val="0"/>
          <w:bCs/>
          <w:sz w:val="30"/>
          <w:szCs w:val="30"/>
          <w:lang w:val="en-US" w:eastAsia="zh-CN"/>
        </w:rPr>
        <w:t>，着力培养一批符合企业岗位需求、具备先进技术与实践能力的高素质技能人才，</w:t>
      </w:r>
      <w:r>
        <w:rPr>
          <w:rFonts w:hint="default" w:ascii="仿宋_GB2312" w:hAnsi="仿宋_GB2312" w:eastAsia="仿宋_GB2312" w:cs="仿宋_GB2312"/>
          <w:b w:val="0"/>
          <w:bCs/>
          <w:sz w:val="30"/>
          <w:szCs w:val="30"/>
          <w:lang w:val="en-US" w:eastAsia="zh-CN"/>
        </w:rPr>
        <w:t>切实增强企业核心竞争力和可持续发展能力，为推动行业整体技术水平的提升提供坚实人才支撑。</w:t>
      </w:r>
    </w:p>
    <w:p w14:paraId="36A7F31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firstLineChars="200"/>
        <w:jc w:val="both"/>
        <w:textAlignment w:val="auto"/>
        <w:rPr>
          <w:rFonts w:hint="default" w:ascii="方正楷体_GB2312" w:hAnsi="方正楷体_GB2312" w:eastAsia="方正楷体_GB2312" w:cs="方正楷体_GB2312"/>
          <w:b/>
          <w:bCs/>
          <w:sz w:val="30"/>
          <w:szCs w:val="30"/>
          <w:lang w:val="en-US" w:eastAsia="zh-CN"/>
        </w:rPr>
      </w:pPr>
      <w:r>
        <w:rPr>
          <w:rFonts w:hint="eastAsia" w:ascii="方正楷体_GB2312" w:hAnsi="方正楷体_GB2312" w:eastAsia="方正楷体_GB2312" w:cs="方正楷体_GB2312"/>
          <w:b/>
          <w:bCs/>
          <w:sz w:val="30"/>
          <w:szCs w:val="30"/>
          <w:lang w:val="en-US" w:eastAsia="zh-CN"/>
        </w:rPr>
        <w:t>（二）建设周期</w:t>
      </w:r>
    </w:p>
    <w:p w14:paraId="446A3215">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本项目计划在三年内建设完成50个左右新能源电池技术和充放电测试研发产教融创中心，其中，2026年建成10个左右，2027年和2028年分别建成20个左右。</w:t>
      </w:r>
    </w:p>
    <w:p w14:paraId="00B8A04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firstLineChars="200"/>
        <w:jc w:val="both"/>
        <w:textAlignment w:val="auto"/>
        <w:rPr>
          <w:rFonts w:hint="eastAsia" w:ascii="方正楷体_GB2312" w:hAnsi="方正楷体_GB2312" w:eastAsia="方正楷体_GB2312" w:cs="方正楷体_GB2312"/>
          <w:b/>
          <w:bCs/>
          <w:sz w:val="30"/>
          <w:szCs w:val="30"/>
          <w:lang w:val="en-US" w:eastAsia="zh-CN"/>
        </w:rPr>
      </w:pPr>
      <w:r>
        <w:rPr>
          <w:rFonts w:hint="eastAsia" w:ascii="方正楷体_GB2312" w:hAnsi="方正楷体_GB2312" w:eastAsia="方正楷体_GB2312" w:cs="方正楷体_GB2312"/>
          <w:b/>
          <w:bCs/>
          <w:sz w:val="30"/>
          <w:szCs w:val="30"/>
          <w:lang w:val="en-US" w:eastAsia="zh-CN"/>
        </w:rPr>
        <w:t>（三）预期成果</w:t>
      </w:r>
    </w:p>
    <w:p w14:paraId="55338D39">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1.</w:t>
      </w:r>
      <w:r>
        <w:rPr>
          <w:rFonts w:hint="default" w:ascii="仿宋_GB2312" w:hAnsi="仿宋_GB2312" w:eastAsia="仿宋_GB2312" w:cs="仿宋_GB2312"/>
          <w:b w:val="0"/>
          <w:bCs/>
          <w:sz w:val="30"/>
          <w:szCs w:val="30"/>
          <w:lang w:val="en-US" w:eastAsia="zh-CN"/>
        </w:rPr>
        <w:t>形成校企共建人才培养方案。方案将精准对接动力电池检修保养与充放电技术等岗位需求，动态融入行业新技术、新标准与新工艺，显著提升人才培养的针对性与适配度。</w:t>
      </w:r>
    </w:p>
    <w:p w14:paraId="19BE380D">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00" w:firstLineChars="200"/>
        <w:jc w:val="both"/>
        <w:textAlignment w:val="auto"/>
        <w:rPr>
          <w:rFonts w:hint="default"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2.</w:t>
      </w:r>
      <w:r>
        <w:rPr>
          <w:rFonts w:hint="default" w:ascii="仿宋_GB2312" w:hAnsi="仿宋_GB2312" w:eastAsia="仿宋_GB2312" w:cs="仿宋_GB2312"/>
          <w:b w:val="0"/>
          <w:bCs/>
          <w:sz w:val="30"/>
          <w:szCs w:val="30"/>
          <w:lang w:val="en-US" w:eastAsia="zh-CN"/>
        </w:rPr>
        <w:t>开发一系列生产实践项目。以真实生产任务为</w:t>
      </w:r>
      <w:r>
        <w:rPr>
          <w:rFonts w:hint="eastAsia" w:ascii="仿宋_GB2312" w:hAnsi="仿宋_GB2312" w:eastAsia="仿宋_GB2312" w:cs="仿宋_GB2312"/>
          <w:b w:val="0"/>
          <w:bCs/>
          <w:sz w:val="30"/>
          <w:szCs w:val="30"/>
          <w:lang w:val="en-US" w:eastAsia="zh-CN"/>
        </w:rPr>
        <w:t>基础</w:t>
      </w:r>
      <w:r>
        <w:rPr>
          <w:rFonts w:hint="default" w:ascii="仿宋_GB2312" w:hAnsi="仿宋_GB2312" w:eastAsia="仿宋_GB2312" w:cs="仿宋_GB2312"/>
          <w:b w:val="0"/>
          <w:bCs/>
          <w:sz w:val="30"/>
          <w:szCs w:val="30"/>
          <w:lang w:val="en-US" w:eastAsia="zh-CN"/>
        </w:rPr>
        <w:t>，开发生产实践项目，有效促进学生理论知识、实践技能与职业素养的深度融合。</w:t>
      </w:r>
    </w:p>
    <w:p w14:paraId="75F3D2E3">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00" w:firstLineChars="200"/>
        <w:jc w:val="both"/>
        <w:textAlignment w:val="auto"/>
        <w:rPr>
          <w:rFonts w:hint="default"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3.</w:t>
      </w:r>
      <w:r>
        <w:rPr>
          <w:rFonts w:hint="default" w:ascii="仿宋_GB2312" w:hAnsi="仿宋_GB2312" w:eastAsia="仿宋_GB2312" w:cs="仿宋_GB2312"/>
          <w:b w:val="0"/>
          <w:bCs/>
          <w:sz w:val="30"/>
          <w:szCs w:val="30"/>
          <w:lang w:val="en-US" w:eastAsia="zh-CN"/>
        </w:rPr>
        <w:t>建成高水平、授权认证的实训基地与社会培训中心。基地严格参照企业真实生产环境建设，经宁德时代</w:t>
      </w:r>
      <w:r>
        <w:rPr>
          <w:rFonts w:hint="eastAsia" w:ascii="仿宋_GB2312" w:hAnsi="仿宋_GB2312" w:eastAsia="仿宋_GB2312" w:cs="仿宋_GB2312"/>
          <w:b w:val="0"/>
          <w:bCs/>
          <w:sz w:val="30"/>
          <w:szCs w:val="30"/>
          <w:lang w:val="en-US" w:eastAsia="zh-CN"/>
        </w:rPr>
        <w:t>和领充</w:t>
      </w:r>
      <w:r>
        <w:rPr>
          <w:rFonts w:hint="default" w:ascii="仿宋_GB2312" w:hAnsi="仿宋_GB2312" w:eastAsia="仿宋_GB2312" w:cs="仿宋_GB2312"/>
          <w:b w:val="0"/>
          <w:bCs/>
          <w:sz w:val="30"/>
          <w:szCs w:val="30"/>
          <w:lang w:val="en-US" w:eastAsia="zh-CN"/>
        </w:rPr>
        <w:t>官方授权，具备面向师生及社会人员开展技术培训、</w:t>
      </w:r>
      <w:r>
        <w:rPr>
          <w:rFonts w:hint="eastAsia" w:ascii="仿宋_GB2312" w:hAnsi="仿宋_GB2312" w:eastAsia="仿宋_GB2312" w:cs="仿宋_GB2312"/>
          <w:b w:val="0"/>
          <w:bCs/>
          <w:sz w:val="30"/>
          <w:szCs w:val="30"/>
          <w:lang w:val="en-US" w:eastAsia="zh-CN"/>
        </w:rPr>
        <w:t>技能大赛、</w:t>
      </w:r>
      <w:r>
        <w:rPr>
          <w:rFonts w:hint="default" w:ascii="仿宋_GB2312" w:hAnsi="仿宋_GB2312" w:eastAsia="仿宋_GB2312" w:cs="仿宋_GB2312"/>
          <w:b w:val="0"/>
          <w:bCs/>
          <w:sz w:val="30"/>
          <w:szCs w:val="30"/>
          <w:lang w:val="en-US" w:eastAsia="zh-CN"/>
        </w:rPr>
        <w:t>认证考核与技能鉴定的综合职能。</w:t>
      </w:r>
    </w:p>
    <w:p w14:paraId="7411AE7D">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4.构建系统化教学资源和教材体系。建成涵盖专业课程、实训项目、典型案例的数字化教学资源库，开发活页式、工作手册式等新形态教材，形成支撑教学改革与自主学习的优质资源体系。</w:t>
      </w:r>
    </w:p>
    <w:p w14:paraId="68717E46">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5.打造具有企业认证的双师型教学团队。通过教师企业实践、技术认证与校企互聘等方式，培养一批具备企业认证资质的“双师型”教师，形成结构合理、专兼结合的高水平教学团队。</w:t>
      </w:r>
    </w:p>
    <w:p w14:paraId="2B7C33CD">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6.</w:t>
      </w:r>
      <w:r>
        <w:rPr>
          <w:rFonts w:hint="default" w:ascii="仿宋_GB2312" w:hAnsi="仿宋_GB2312" w:eastAsia="仿宋_GB2312" w:cs="仿宋_GB2312"/>
          <w:b w:val="0"/>
          <w:bCs/>
          <w:sz w:val="30"/>
          <w:szCs w:val="30"/>
          <w:lang w:val="en-US" w:eastAsia="zh-CN"/>
        </w:rPr>
        <w:t>实现毕业生高质量认证与就业。毕业生通过企业技能认证，获得行业广泛认可的职业资格证书，并由校企双方协同推荐，实现稳定、对口的优质就业。</w:t>
      </w:r>
    </w:p>
    <w:p w14:paraId="73234C3F">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00" w:firstLineChars="200"/>
        <w:jc w:val="both"/>
        <w:textAlignment w:val="auto"/>
        <w:rPr>
          <w:rFonts w:hint="default"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7.拓展国</w:t>
      </w:r>
      <w:r>
        <w:rPr>
          <w:rFonts w:hint="eastAsia" w:ascii="仿宋_GB2312" w:hAnsi="仿宋_GB2312" w:eastAsia="仿宋_GB2312" w:cs="仿宋_GB2312"/>
          <w:b w:val="0"/>
          <w:bCs/>
          <w:color w:val="auto"/>
          <w:sz w:val="30"/>
          <w:szCs w:val="30"/>
          <w:lang w:val="en-US" w:eastAsia="zh-CN"/>
        </w:rPr>
        <w:t>际交流合作渠道。</w:t>
      </w:r>
      <w:r>
        <w:rPr>
          <w:rFonts w:hint="default" w:ascii="仿宋_GB2312" w:hAnsi="仿宋_GB2312" w:eastAsia="仿宋_GB2312" w:cs="仿宋_GB2312"/>
          <w:b w:val="0"/>
          <w:bCs/>
          <w:color w:val="auto"/>
          <w:sz w:val="30"/>
          <w:szCs w:val="30"/>
          <w:lang w:val="en-US" w:eastAsia="zh-CN"/>
        </w:rPr>
        <w:t>依托</w:t>
      </w:r>
      <w:r>
        <w:rPr>
          <w:rFonts w:hint="eastAsia" w:ascii="仿宋_GB2312" w:hAnsi="仿宋_GB2312" w:eastAsia="仿宋_GB2312" w:cs="仿宋_GB2312"/>
          <w:b w:val="0"/>
          <w:bCs/>
          <w:color w:val="auto"/>
          <w:sz w:val="30"/>
          <w:szCs w:val="30"/>
          <w:lang w:val="en-US" w:eastAsia="zh-CN"/>
        </w:rPr>
        <w:t>中国</w:t>
      </w:r>
      <w:r>
        <w:rPr>
          <w:rFonts w:hint="default" w:ascii="仿宋_GB2312" w:hAnsi="仿宋_GB2312" w:eastAsia="仿宋_GB2312" w:cs="仿宋_GB2312"/>
          <w:b w:val="0"/>
          <w:bCs/>
          <w:color w:val="auto"/>
          <w:sz w:val="30"/>
          <w:szCs w:val="30"/>
          <w:lang w:val="en-US" w:eastAsia="zh-CN"/>
        </w:rPr>
        <w:t>企业</w:t>
      </w:r>
      <w:r>
        <w:rPr>
          <w:rFonts w:hint="eastAsia" w:ascii="仿宋_GB2312" w:hAnsi="仿宋_GB2312" w:eastAsia="仿宋_GB2312" w:cs="仿宋_GB2312"/>
          <w:b w:val="0"/>
          <w:bCs/>
          <w:color w:val="auto"/>
          <w:sz w:val="30"/>
          <w:szCs w:val="30"/>
          <w:lang w:val="en-US" w:eastAsia="zh-CN"/>
        </w:rPr>
        <w:t>电池后市场及充放电技术先进性</w:t>
      </w:r>
      <w:r>
        <w:rPr>
          <w:rFonts w:hint="default" w:ascii="仿宋_GB2312" w:hAnsi="仿宋_GB2312" w:eastAsia="仿宋_GB2312" w:cs="仿宋_GB2312"/>
          <w:b w:val="0"/>
          <w:bCs/>
          <w:color w:val="auto"/>
          <w:sz w:val="30"/>
          <w:szCs w:val="30"/>
          <w:lang w:val="en-US" w:eastAsia="zh-CN"/>
        </w:rPr>
        <w:t>，</w:t>
      </w:r>
      <w:r>
        <w:rPr>
          <w:rFonts w:hint="eastAsia" w:ascii="仿宋_GB2312" w:hAnsi="仿宋_GB2312" w:eastAsia="仿宋_GB2312" w:cs="仿宋_GB2312"/>
          <w:b w:val="0"/>
          <w:bCs/>
          <w:color w:val="auto"/>
          <w:sz w:val="30"/>
          <w:szCs w:val="30"/>
          <w:lang w:val="en-US" w:eastAsia="zh-CN"/>
        </w:rPr>
        <w:t>开发国际性课程标准和专业建设标准，校企同行</w:t>
      </w:r>
      <w:r>
        <w:rPr>
          <w:rFonts w:hint="default" w:ascii="仿宋_GB2312" w:hAnsi="仿宋_GB2312" w:eastAsia="仿宋_GB2312" w:cs="仿宋_GB2312"/>
          <w:b w:val="0"/>
          <w:bCs/>
          <w:color w:val="auto"/>
          <w:sz w:val="30"/>
          <w:szCs w:val="30"/>
          <w:lang w:val="en-US" w:eastAsia="zh-CN"/>
        </w:rPr>
        <w:t>选派</w:t>
      </w:r>
      <w:r>
        <w:rPr>
          <w:rFonts w:hint="eastAsia" w:ascii="仿宋_GB2312" w:hAnsi="仿宋_GB2312" w:eastAsia="仿宋_GB2312" w:cs="仿宋_GB2312"/>
          <w:b w:val="0"/>
          <w:bCs/>
          <w:color w:val="auto"/>
          <w:sz w:val="30"/>
          <w:szCs w:val="30"/>
          <w:lang w:val="en-US" w:eastAsia="zh-CN"/>
        </w:rPr>
        <w:t>团队</w:t>
      </w:r>
      <w:r>
        <w:rPr>
          <w:rFonts w:hint="default" w:ascii="仿宋_GB2312" w:hAnsi="仿宋_GB2312" w:eastAsia="仿宋_GB2312" w:cs="仿宋_GB2312"/>
          <w:b w:val="0"/>
          <w:bCs/>
          <w:color w:val="auto"/>
          <w:sz w:val="30"/>
          <w:szCs w:val="30"/>
          <w:lang w:val="en-US" w:eastAsia="zh-CN"/>
        </w:rPr>
        <w:t>参与国际培训与技术交流，构建常态化国际合作机</w:t>
      </w:r>
      <w:r>
        <w:rPr>
          <w:rFonts w:hint="default" w:ascii="仿宋_GB2312" w:hAnsi="仿宋_GB2312" w:eastAsia="仿宋_GB2312" w:cs="仿宋_GB2312"/>
          <w:b w:val="0"/>
          <w:bCs/>
          <w:sz w:val="30"/>
          <w:szCs w:val="30"/>
          <w:lang w:val="en-US" w:eastAsia="zh-CN"/>
        </w:rPr>
        <w:t>制，服务国家“走出去”战略，提升专业国际化水平与影响力。</w:t>
      </w:r>
    </w:p>
    <w:p w14:paraId="058D0E3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firstLineChars="200"/>
        <w:jc w:val="both"/>
        <w:textAlignment w:val="auto"/>
        <w:rPr>
          <w:rFonts w:hint="default" w:ascii="方正楷体_GB2312" w:hAnsi="方正楷体_GB2312" w:eastAsia="方正楷体_GB2312" w:cs="方正楷体_GB2312"/>
          <w:b/>
          <w:bCs/>
          <w:sz w:val="30"/>
          <w:szCs w:val="30"/>
          <w:lang w:val="en-US" w:eastAsia="zh-CN"/>
        </w:rPr>
      </w:pPr>
      <w:r>
        <w:rPr>
          <w:rFonts w:hint="eastAsia" w:ascii="方正楷体_GB2312" w:hAnsi="方正楷体_GB2312" w:eastAsia="方正楷体_GB2312" w:cs="方正楷体_GB2312"/>
          <w:b/>
          <w:bCs/>
          <w:sz w:val="30"/>
          <w:szCs w:val="30"/>
          <w:lang w:val="en-US" w:eastAsia="zh-CN"/>
        </w:rPr>
        <w:t>（四）企业总体支持情况</w:t>
      </w:r>
    </w:p>
    <w:p w14:paraId="5FFF7AE6">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00" w:firstLineChars="200"/>
        <w:jc w:val="both"/>
        <w:textAlignment w:val="auto"/>
        <w:rPr>
          <w:rFonts w:hint="default"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1.</w:t>
      </w:r>
      <w:r>
        <w:rPr>
          <w:rFonts w:hint="default" w:ascii="仿宋_GB2312" w:hAnsi="仿宋_GB2312" w:eastAsia="仿宋_GB2312" w:cs="仿宋_GB2312"/>
          <w:b w:val="0"/>
          <w:bCs/>
          <w:sz w:val="30"/>
          <w:szCs w:val="30"/>
          <w:lang w:val="en-US" w:eastAsia="zh-CN"/>
        </w:rPr>
        <w:t>成熟合作模式输出</w:t>
      </w:r>
      <w:r>
        <w:rPr>
          <w:rFonts w:hint="eastAsia" w:ascii="仿宋_GB2312" w:hAnsi="仿宋_GB2312" w:eastAsia="仿宋_GB2312" w:cs="仿宋_GB2312"/>
          <w:b w:val="0"/>
          <w:bCs/>
          <w:sz w:val="30"/>
          <w:szCs w:val="30"/>
          <w:lang w:val="en-US" w:eastAsia="zh-CN"/>
        </w:rPr>
        <w:t>。</w:t>
      </w:r>
      <w:r>
        <w:rPr>
          <w:rFonts w:hint="default" w:ascii="仿宋_GB2312" w:hAnsi="仿宋_GB2312" w:eastAsia="仿宋_GB2312" w:cs="仿宋_GB2312"/>
          <w:b w:val="0"/>
          <w:bCs/>
          <w:sz w:val="30"/>
          <w:szCs w:val="30"/>
          <w:lang w:val="en-US" w:eastAsia="zh-CN"/>
        </w:rPr>
        <w:t>凭借丰富的校企合作经验，提供包括共建机制、管理体系在内的成熟合作范式，助力项目高起点、规范化实施。</w:t>
      </w:r>
    </w:p>
    <w:p w14:paraId="375035AC">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00" w:firstLineChars="200"/>
        <w:jc w:val="both"/>
        <w:textAlignment w:val="auto"/>
        <w:rPr>
          <w:rFonts w:hint="default"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2.</w:t>
      </w:r>
      <w:r>
        <w:rPr>
          <w:rFonts w:hint="default" w:ascii="仿宋_GB2312" w:hAnsi="仿宋_GB2312" w:eastAsia="仿宋_GB2312" w:cs="仿宋_GB2312"/>
          <w:b w:val="0"/>
          <w:bCs/>
          <w:sz w:val="30"/>
          <w:szCs w:val="30"/>
          <w:lang w:val="en-US" w:eastAsia="zh-CN"/>
        </w:rPr>
        <w:t>课程与教学资源支持</w:t>
      </w:r>
      <w:r>
        <w:rPr>
          <w:rFonts w:hint="eastAsia" w:ascii="仿宋_GB2312" w:hAnsi="仿宋_GB2312" w:eastAsia="仿宋_GB2312" w:cs="仿宋_GB2312"/>
          <w:b w:val="0"/>
          <w:bCs/>
          <w:sz w:val="30"/>
          <w:szCs w:val="30"/>
          <w:lang w:val="en-US" w:eastAsia="zh-CN"/>
        </w:rPr>
        <w:t>。</w:t>
      </w:r>
      <w:r>
        <w:rPr>
          <w:rFonts w:hint="default" w:ascii="仿宋_GB2312" w:hAnsi="仿宋_GB2312" w:eastAsia="仿宋_GB2312" w:cs="仿宋_GB2312"/>
          <w:b w:val="0"/>
          <w:bCs/>
          <w:sz w:val="30"/>
          <w:szCs w:val="30"/>
          <w:lang w:val="en-US" w:eastAsia="zh-CN"/>
        </w:rPr>
        <w:t>根据项目需要，联合开发或授权使用部分专业课程资源，将企业标准、技术案例及工艺规范融入教学内容，推动课程体系与产业需求对接。</w:t>
      </w:r>
    </w:p>
    <w:p w14:paraId="2223CAA6">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00" w:firstLineChars="200"/>
        <w:jc w:val="both"/>
        <w:textAlignment w:val="auto"/>
        <w:rPr>
          <w:rFonts w:hint="default"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3.</w:t>
      </w:r>
      <w:r>
        <w:rPr>
          <w:rFonts w:hint="default" w:ascii="仿宋_GB2312" w:hAnsi="仿宋_GB2312" w:eastAsia="仿宋_GB2312" w:cs="仿宋_GB2312"/>
          <w:b w:val="0"/>
          <w:bCs/>
          <w:sz w:val="30"/>
          <w:szCs w:val="30"/>
          <w:lang w:val="en-US" w:eastAsia="zh-CN"/>
        </w:rPr>
        <w:t>师资能力认证与培训</w:t>
      </w:r>
      <w:r>
        <w:rPr>
          <w:rFonts w:hint="eastAsia" w:ascii="仿宋_GB2312" w:hAnsi="仿宋_GB2312" w:eastAsia="仿宋_GB2312" w:cs="仿宋_GB2312"/>
          <w:b w:val="0"/>
          <w:bCs/>
          <w:sz w:val="30"/>
          <w:szCs w:val="30"/>
          <w:lang w:val="en-US" w:eastAsia="zh-CN"/>
        </w:rPr>
        <w:t>。</w:t>
      </w:r>
      <w:r>
        <w:rPr>
          <w:rFonts w:hint="default" w:ascii="仿宋_GB2312" w:hAnsi="仿宋_GB2312" w:eastAsia="仿宋_GB2312" w:cs="仿宋_GB2312"/>
          <w:b w:val="0"/>
          <w:bCs/>
          <w:sz w:val="30"/>
          <w:szCs w:val="30"/>
          <w:lang w:val="en-US" w:eastAsia="zh-CN"/>
        </w:rPr>
        <w:t>建立企业认证的师资培训机制，为合作院校教师提供技术培训与能力认证，并面向社会开展职业技能等级认定服务。</w:t>
      </w:r>
    </w:p>
    <w:p w14:paraId="050EFF6A">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00" w:firstLineChars="200"/>
        <w:jc w:val="both"/>
        <w:textAlignment w:val="auto"/>
        <w:rPr>
          <w:rFonts w:hint="default"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4.</w:t>
      </w:r>
      <w:r>
        <w:rPr>
          <w:rFonts w:hint="default" w:ascii="仿宋_GB2312" w:hAnsi="仿宋_GB2312" w:eastAsia="仿宋_GB2312" w:cs="仿宋_GB2312"/>
          <w:b w:val="0"/>
          <w:bCs/>
          <w:sz w:val="30"/>
          <w:szCs w:val="30"/>
          <w:lang w:val="en-US" w:eastAsia="zh-CN"/>
        </w:rPr>
        <w:t>常态化技术支撑服务</w:t>
      </w:r>
      <w:r>
        <w:rPr>
          <w:rFonts w:hint="eastAsia" w:ascii="仿宋_GB2312" w:hAnsi="仿宋_GB2312" w:eastAsia="仿宋_GB2312" w:cs="仿宋_GB2312"/>
          <w:b w:val="0"/>
          <w:bCs/>
          <w:sz w:val="30"/>
          <w:szCs w:val="30"/>
          <w:lang w:val="en-US" w:eastAsia="zh-CN"/>
        </w:rPr>
        <w:t>。</w:t>
      </w:r>
      <w:r>
        <w:rPr>
          <w:rFonts w:hint="default" w:ascii="仿宋_GB2312" w:hAnsi="仿宋_GB2312" w:eastAsia="仿宋_GB2312" w:cs="仿宋_GB2312"/>
          <w:b w:val="0"/>
          <w:bCs/>
          <w:sz w:val="30"/>
          <w:szCs w:val="30"/>
          <w:lang w:val="en-US" w:eastAsia="zh-CN"/>
        </w:rPr>
        <w:t>定期派遣企业工程师参与教学指导、技术研讨与实训项目开发，为院校提供持续、前沿的技术支持与工程实践指导。</w:t>
      </w:r>
    </w:p>
    <w:p w14:paraId="7B5EA9F3">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00" w:firstLineChars="200"/>
        <w:jc w:val="both"/>
        <w:textAlignment w:val="auto"/>
        <w:rPr>
          <w:rFonts w:hint="default"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5.</w:t>
      </w:r>
      <w:r>
        <w:rPr>
          <w:rFonts w:hint="default" w:ascii="仿宋_GB2312" w:hAnsi="仿宋_GB2312" w:eastAsia="仿宋_GB2312" w:cs="仿宋_GB2312"/>
          <w:b w:val="0"/>
          <w:bCs/>
          <w:sz w:val="30"/>
          <w:szCs w:val="30"/>
          <w:lang w:val="en-US" w:eastAsia="zh-CN"/>
        </w:rPr>
        <w:t>实习就业与国际化推荐</w:t>
      </w:r>
      <w:r>
        <w:rPr>
          <w:rFonts w:hint="eastAsia" w:ascii="仿宋_GB2312" w:hAnsi="仿宋_GB2312" w:eastAsia="仿宋_GB2312" w:cs="仿宋_GB2312"/>
          <w:b w:val="0"/>
          <w:bCs/>
          <w:sz w:val="30"/>
          <w:szCs w:val="30"/>
          <w:lang w:val="en-US" w:eastAsia="zh-CN"/>
        </w:rPr>
        <w:t>。</w:t>
      </w:r>
      <w:r>
        <w:rPr>
          <w:rFonts w:hint="default" w:ascii="仿宋_GB2312" w:hAnsi="仿宋_GB2312" w:eastAsia="仿宋_GB2312" w:cs="仿宋_GB2312"/>
          <w:b w:val="0"/>
          <w:bCs/>
          <w:sz w:val="30"/>
          <w:szCs w:val="30"/>
          <w:lang w:val="en-US" w:eastAsia="zh-CN"/>
        </w:rPr>
        <w:t>为项目学生</w:t>
      </w:r>
      <w:r>
        <w:rPr>
          <w:rFonts w:hint="eastAsia" w:ascii="仿宋_GB2312" w:hAnsi="仿宋_GB2312" w:eastAsia="仿宋_GB2312" w:cs="仿宋_GB2312"/>
          <w:b w:val="0"/>
          <w:bCs/>
          <w:sz w:val="30"/>
          <w:szCs w:val="30"/>
          <w:lang w:val="en-US" w:eastAsia="zh-CN"/>
        </w:rPr>
        <w:t>推荐</w:t>
      </w:r>
      <w:r>
        <w:rPr>
          <w:rFonts w:hint="default" w:ascii="仿宋_GB2312" w:hAnsi="仿宋_GB2312" w:eastAsia="仿宋_GB2312" w:cs="仿宋_GB2312"/>
          <w:b w:val="0"/>
          <w:bCs/>
          <w:sz w:val="30"/>
          <w:szCs w:val="30"/>
          <w:lang w:val="en-US" w:eastAsia="zh-CN"/>
        </w:rPr>
        <w:t>顶岗实习岗位与专项就业推荐，优先录用优秀毕业生，并建立海外就业推荐通道，支持具备条件的毕业生赴境外分支机构或合作单位任职。</w:t>
      </w:r>
    </w:p>
    <w:p w14:paraId="08779C9F">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黑体" w:hAnsi="黑体" w:eastAsia="黑体" w:cs="黑体"/>
          <w:b w:val="0"/>
          <w:bCs/>
          <w:sz w:val="30"/>
          <w:szCs w:val="30"/>
          <w:lang w:val="en-US" w:eastAsia="zh-CN"/>
        </w:rPr>
      </w:pPr>
      <w:r>
        <w:rPr>
          <w:rFonts w:hint="eastAsia" w:ascii="黑体" w:hAnsi="黑体" w:eastAsia="黑体" w:cs="黑体"/>
          <w:b w:val="0"/>
          <w:bCs/>
          <w:sz w:val="30"/>
          <w:szCs w:val="30"/>
          <w:lang w:val="en-US" w:eastAsia="zh-CN"/>
        </w:rPr>
        <w:t>二、建设任务</w:t>
      </w:r>
    </w:p>
    <w:p w14:paraId="5E7C999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firstLineChars="200"/>
        <w:jc w:val="both"/>
        <w:textAlignment w:val="auto"/>
        <w:rPr>
          <w:rFonts w:hint="eastAsia" w:ascii="方正楷体_GB2312" w:hAnsi="方正楷体_GB2312" w:eastAsia="方正楷体_GB2312" w:cs="方正楷体_GB2312"/>
          <w:b/>
          <w:bCs/>
          <w:sz w:val="30"/>
          <w:szCs w:val="30"/>
          <w:lang w:val="en-US" w:eastAsia="zh-CN"/>
        </w:rPr>
      </w:pPr>
      <w:r>
        <w:rPr>
          <w:rFonts w:hint="eastAsia" w:ascii="方正楷体_GB2312" w:hAnsi="方正楷体_GB2312" w:eastAsia="方正楷体_GB2312" w:cs="方正楷体_GB2312"/>
          <w:b/>
          <w:bCs/>
          <w:sz w:val="30"/>
          <w:szCs w:val="30"/>
          <w:lang w:val="en-US" w:eastAsia="zh-CN"/>
        </w:rPr>
        <w:t>（一）校企联合开发人才培养方案</w:t>
      </w:r>
    </w:p>
    <w:p w14:paraId="5AE89E9B">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Arial" w:hAnsi="Arial" w:eastAsia="仿宋_GB2312" w:cs="Arial"/>
          <w:b w:val="0"/>
          <w:bCs/>
          <w:sz w:val="30"/>
          <w:szCs w:val="30"/>
          <w:lang w:val="en-US" w:eastAsia="zh-CN"/>
        </w:rPr>
      </w:pPr>
      <w:r>
        <w:rPr>
          <w:rFonts w:hint="eastAsia" w:ascii="Arial" w:hAnsi="Arial" w:eastAsia="仿宋_GB2312" w:cs="Arial"/>
          <w:b w:val="0"/>
          <w:bCs/>
          <w:sz w:val="30"/>
          <w:szCs w:val="30"/>
          <w:lang w:val="en-US" w:eastAsia="zh-CN"/>
        </w:rPr>
        <w:t>校企双方共同组建调研组，围绕动力电池维修保养、充放电测试研发等</w:t>
      </w:r>
      <w:r>
        <w:rPr>
          <w:rFonts w:hint="eastAsia" w:ascii="Arial" w:hAnsi="Arial" w:eastAsia="仿宋_GB2312" w:cs="Arial"/>
          <w:b w:val="0"/>
          <w:bCs/>
          <w:color w:val="auto"/>
          <w:sz w:val="30"/>
          <w:szCs w:val="30"/>
          <w:lang w:val="en-US" w:eastAsia="zh-CN"/>
        </w:rPr>
        <w:t>领域</w:t>
      </w:r>
      <w:r>
        <w:rPr>
          <w:rFonts w:hint="default" w:ascii="Arial" w:hAnsi="Arial" w:eastAsia="仿宋_GB2312" w:cs="Arial"/>
          <w:b w:val="0"/>
          <w:bCs/>
          <w:color w:val="auto"/>
          <w:sz w:val="30"/>
          <w:szCs w:val="30"/>
          <w:lang w:val="en-US" w:eastAsia="zh-CN"/>
        </w:rPr>
        <w:t>技术革新、市场需求增长和产业升级</w:t>
      </w:r>
      <w:r>
        <w:rPr>
          <w:rFonts w:hint="eastAsia" w:ascii="Arial" w:hAnsi="Arial" w:eastAsia="仿宋_GB2312" w:cs="Arial"/>
          <w:b w:val="0"/>
          <w:bCs/>
          <w:color w:val="auto"/>
          <w:sz w:val="30"/>
          <w:szCs w:val="30"/>
          <w:lang w:val="en-US" w:eastAsia="zh-CN"/>
        </w:rPr>
        <w:t>发展趋</w:t>
      </w:r>
      <w:r>
        <w:rPr>
          <w:rFonts w:hint="eastAsia" w:ascii="Arial" w:hAnsi="Arial" w:eastAsia="仿宋_GB2312" w:cs="Arial"/>
          <w:b w:val="0"/>
          <w:bCs/>
          <w:sz w:val="30"/>
          <w:szCs w:val="30"/>
          <w:lang w:val="en-US" w:eastAsia="zh-CN"/>
        </w:rPr>
        <w:t>势，定期开展系统化人才需求调研，动态跟踪并精准研判人才需求变化，为专业建设和人才培养方案优化提供科学依据。基于调研结果，双方联合开展人才培养方案研制和动态修订工作，重点优化课程体系、创新教学模式、强化实践教学环节，实现教学内容与企业岗位能力要求精准对接，全面提升学生的专业素养、实践能力与创新水平，切实增强人才培养质量与产业发展需求的适配性和支撑度。</w:t>
      </w:r>
    </w:p>
    <w:p w14:paraId="0E47F46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firstLineChars="200"/>
        <w:jc w:val="both"/>
        <w:textAlignment w:val="auto"/>
        <w:rPr>
          <w:rFonts w:hint="eastAsia" w:ascii="方正楷体_GB2312" w:hAnsi="方正楷体_GB2312" w:eastAsia="方正楷体_GB2312" w:cs="方正楷体_GB2312"/>
          <w:b/>
          <w:bCs/>
          <w:sz w:val="30"/>
          <w:szCs w:val="30"/>
          <w:lang w:val="en-US" w:eastAsia="zh-CN"/>
        </w:rPr>
      </w:pPr>
      <w:r>
        <w:rPr>
          <w:rFonts w:hint="eastAsia" w:ascii="方正楷体_GB2312" w:hAnsi="方正楷体_GB2312" w:eastAsia="方正楷体_GB2312" w:cs="方正楷体_GB2312"/>
          <w:b/>
          <w:bCs/>
          <w:sz w:val="30"/>
          <w:szCs w:val="30"/>
          <w:lang w:val="en-US" w:eastAsia="zh-CN"/>
        </w:rPr>
        <w:t>（二）合作开发生产实践项目</w:t>
      </w:r>
    </w:p>
    <w:p w14:paraId="2CE4A503">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Arial" w:hAnsi="Arial" w:eastAsia="仿宋_GB2312" w:cs="Arial"/>
          <w:b w:val="0"/>
          <w:bCs/>
          <w:sz w:val="30"/>
          <w:szCs w:val="30"/>
          <w:lang w:val="en-US" w:eastAsia="zh-CN"/>
        </w:rPr>
      </w:pPr>
      <w:r>
        <w:rPr>
          <w:rFonts w:hint="eastAsia" w:ascii="Arial" w:hAnsi="Arial" w:eastAsia="仿宋_GB2312" w:cs="Arial"/>
          <w:b w:val="0"/>
          <w:bCs/>
          <w:sz w:val="30"/>
          <w:szCs w:val="30"/>
          <w:lang w:val="en-US" w:eastAsia="zh-CN"/>
        </w:rPr>
        <w:t>企业从实际生产项目中遴选兼具代表性与教学价值的典型项目作为开发原型，院校专业教师负责从教学目标适配性、学生认知规律等维度开展专业评估和论证，确保所选项目既能反映真实产业技术应用场景，又能有效融入教学过程，实现生产实践与教学内容的精准对接。以典型项目为载体，探索实践教学新模式，学生校企双导师指导下，完成从项目规划、实施到验收的全过程，实现理论知识与实践技能的有机融合，提升学生综合实践与解决问题的能力。</w:t>
      </w:r>
    </w:p>
    <w:p w14:paraId="269813F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firstLineChars="200"/>
        <w:jc w:val="both"/>
        <w:textAlignment w:val="auto"/>
        <w:rPr>
          <w:rFonts w:hint="eastAsia" w:ascii="方正楷体_GB2312" w:hAnsi="方正楷体_GB2312" w:eastAsia="方正楷体_GB2312" w:cs="方正楷体_GB2312"/>
          <w:b/>
          <w:bCs/>
          <w:sz w:val="30"/>
          <w:szCs w:val="30"/>
          <w:lang w:val="en-US" w:eastAsia="zh-CN"/>
        </w:rPr>
      </w:pPr>
      <w:r>
        <w:rPr>
          <w:rFonts w:hint="eastAsia" w:ascii="方正楷体_GB2312" w:hAnsi="方正楷体_GB2312" w:eastAsia="方正楷体_GB2312" w:cs="方正楷体_GB2312"/>
          <w:b/>
          <w:bCs/>
          <w:sz w:val="30"/>
          <w:szCs w:val="30"/>
          <w:lang w:val="en-US" w:eastAsia="zh-CN"/>
        </w:rPr>
        <w:t>（三）共建高水平实验实训基地</w:t>
      </w:r>
    </w:p>
    <w:p w14:paraId="40F29B30">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Arial" w:hAnsi="Arial" w:eastAsia="仿宋_GB2312" w:cs="Arial"/>
          <w:b w:val="0"/>
          <w:bCs/>
          <w:sz w:val="30"/>
          <w:szCs w:val="30"/>
          <w:lang w:val="en-US" w:eastAsia="zh-CN"/>
        </w:rPr>
      </w:pPr>
      <w:r>
        <w:rPr>
          <w:rFonts w:hint="eastAsia" w:ascii="Arial" w:hAnsi="Arial" w:eastAsia="仿宋_GB2312" w:cs="Arial"/>
          <w:b w:val="0"/>
          <w:bCs/>
          <w:sz w:val="30"/>
          <w:szCs w:val="30"/>
          <w:lang w:val="en-US" w:eastAsia="zh-CN"/>
        </w:rPr>
        <w:t>立足区域产业发展和人才需求，校企联合共建集实践教学、技能认证和社会培训等功能为一体的综合性实验实训基地。基地严格参照企业真实生产环境进行建设与设备配置，确保学生在真实的工作环境中学习锻炼。基地经宁德时代和领充官方授权，具备面向教师、学生及社会人员开展企业认证培训与考核资质，可按规定程序颁发宁德时代认证的技术资格证书，构建覆盖多类型人才的专业化认证体系。</w:t>
      </w:r>
    </w:p>
    <w:p w14:paraId="50312E5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firstLineChars="200"/>
        <w:jc w:val="both"/>
        <w:textAlignment w:val="auto"/>
        <w:rPr>
          <w:rFonts w:hint="eastAsia" w:ascii="方正楷体_GB2312" w:hAnsi="方正楷体_GB2312" w:eastAsia="方正楷体_GB2312" w:cs="方正楷体_GB2312"/>
          <w:b/>
          <w:bCs/>
          <w:sz w:val="30"/>
          <w:szCs w:val="30"/>
          <w:lang w:val="en-US" w:eastAsia="zh-CN"/>
        </w:rPr>
      </w:pPr>
      <w:r>
        <w:rPr>
          <w:rFonts w:hint="eastAsia" w:ascii="方正楷体_GB2312" w:hAnsi="方正楷体_GB2312" w:eastAsia="方正楷体_GB2312" w:cs="方正楷体_GB2312"/>
          <w:b/>
          <w:bCs/>
          <w:sz w:val="30"/>
          <w:szCs w:val="30"/>
          <w:lang w:val="en-US" w:eastAsia="zh-CN"/>
        </w:rPr>
        <w:t>（四）培育高水平专业教学团队</w:t>
      </w:r>
    </w:p>
    <w:p w14:paraId="2E224179">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Arial" w:hAnsi="Arial" w:eastAsia="仿宋_GB2312" w:cs="Arial"/>
          <w:b w:val="0"/>
          <w:bCs/>
          <w:sz w:val="30"/>
          <w:szCs w:val="30"/>
          <w:lang w:val="en-US" w:eastAsia="zh-CN"/>
        </w:rPr>
      </w:pPr>
      <w:r>
        <w:rPr>
          <w:rFonts w:hint="eastAsia" w:ascii="Arial" w:hAnsi="Arial" w:eastAsia="仿宋_GB2312" w:cs="Arial"/>
          <w:b w:val="0"/>
          <w:bCs/>
          <w:sz w:val="30"/>
          <w:szCs w:val="30"/>
          <w:lang w:val="en-US" w:eastAsia="zh-CN"/>
        </w:rPr>
        <w:t>校企联合制定并实施高水平专业教学团队培育计划，通过服务站挂职锻炼、企业导师帮扶、校企联合科研等方式，全面提升教师的专业教学水平、实践指导能力和科研能力。依托宁德时代授权培训基地，开展教师企业认证培训，推动教师取得行业权威技术资格证书，提升师资队伍职业素养与标准化教学能力。</w:t>
      </w:r>
    </w:p>
    <w:p w14:paraId="6B5A756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firstLineChars="200"/>
        <w:jc w:val="both"/>
        <w:textAlignment w:val="auto"/>
        <w:rPr>
          <w:rFonts w:hint="eastAsia" w:ascii="方正楷体_GB2312" w:hAnsi="方正楷体_GB2312" w:eastAsia="方正楷体_GB2312" w:cs="方正楷体_GB2312"/>
          <w:b/>
          <w:bCs/>
          <w:sz w:val="30"/>
          <w:szCs w:val="30"/>
          <w:lang w:val="en-US" w:eastAsia="zh-CN"/>
        </w:rPr>
      </w:pPr>
      <w:r>
        <w:rPr>
          <w:rFonts w:hint="eastAsia" w:ascii="方正楷体_GB2312" w:hAnsi="方正楷体_GB2312" w:eastAsia="方正楷体_GB2312" w:cs="方正楷体_GB2312"/>
          <w:b/>
          <w:bCs/>
          <w:sz w:val="30"/>
          <w:szCs w:val="30"/>
          <w:lang w:val="en-US" w:eastAsia="zh-CN"/>
        </w:rPr>
        <w:t>（五）联合开发新形态教材集及教学资源</w:t>
      </w:r>
    </w:p>
    <w:p w14:paraId="1ABAA784">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00" w:firstLineChars="200"/>
        <w:jc w:val="both"/>
        <w:textAlignment w:val="auto"/>
        <w:rPr>
          <w:rFonts w:hint="eastAsia" w:ascii="Arial" w:hAnsi="Arial" w:eastAsia="仿宋_GB2312" w:cs="Arial"/>
          <w:b w:val="0"/>
          <w:bCs/>
          <w:sz w:val="30"/>
          <w:szCs w:val="30"/>
          <w:lang w:val="en-US" w:eastAsia="zh-CN"/>
        </w:rPr>
      </w:pPr>
      <w:r>
        <w:rPr>
          <w:rFonts w:hint="eastAsia" w:ascii="Arial" w:hAnsi="Arial" w:eastAsia="仿宋_GB2312" w:cs="Arial"/>
          <w:b w:val="0"/>
          <w:bCs/>
          <w:sz w:val="30"/>
          <w:szCs w:val="30"/>
          <w:lang w:val="en-US" w:eastAsia="zh-CN"/>
        </w:rPr>
        <w:t>校企联合组建课程教学资源开发团队，以企业真实生产项目、典型工作任务、工程实践案例等为载体，开发活页式、工作手册式等新形态教材。全面引入企业操作手册、培训手册、技术标准等核心内容，编制形成适用于教学与实践的工作计划书、质量检查手册及工具用书，实现教学内容与企业岗位要求的紧密对接。持续健全宁德时代校企合作专业教学资源库，整合课程标准、教学案例、实训项目、视频资源等数字化内容，构建开放共享、持续更新的教学资源平台。建立资源动态更新机制，及时将行业新技术、新工艺、新规范纳入教学资源体系，确保教学内容的前沿性与实用性。推动教学资源在合作院校间的共建共享，扩大优质资源覆盖范围与服务效能，为区域内相关专业教学改革与人才培养提供有力支撑，形成可复制、可推广的资源建设模式。</w:t>
      </w:r>
    </w:p>
    <w:p w14:paraId="09A13FA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firstLineChars="200"/>
        <w:jc w:val="both"/>
        <w:textAlignment w:val="auto"/>
        <w:rPr>
          <w:rFonts w:hint="eastAsia" w:ascii="方正楷体_GB2312" w:hAnsi="方正楷体_GB2312" w:eastAsia="方正楷体_GB2312" w:cs="方正楷体_GB2312"/>
          <w:b/>
          <w:bCs/>
          <w:sz w:val="30"/>
          <w:szCs w:val="30"/>
          <w:lang w:val="en-US" w:eastAsia="zh-CN"/>
        </w:rPr>
      </w:pPr>
      <w:r>
        <w:rPr>
          <w:rFonts w:hint="eastAsia" w:ascii="方正楷体_GB2312" w:hAnsi="方正楷体_GB2312" w:eastAsia="方正楷体_GB2312" w:cs="方正楷体_GB2312"/>
          <w:b/>
          <w:bCs/>
          <w:sz w:val="30"/>
          <w:szCs w:val="30"/>
          <w:lang w:val="en-US" w:eastAsia="zh-CN"/>
        </w:rPr>
        <w:t>（六）积极拓展国际交流合作</w:t>
      </w:r>
    </w:p>
    <w:p w14:paraId="4D33E3EA">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00" w:firstLineChars="200"/>
        <w:jc w:val="both"/>
        <w:textAlignment w:val="auto"/>
        <w:rPr>
          <w:rFonts w:hint="default" w:ascii="Arial" w:hAnsi="Arial" w:eastAsia="仿宋_GB2312" w:cs="Arial"/>
          <w:b w:val="0"/>
          <w:bCs/>
          <w:sz w:val="30"/>
          <w:szCs w:val="30"/>
          <w:lang w:val="en-US" w:eastAsia="zh-CN"/>
        </w:rPr>
      </w:pPr>
      <w:r>
        <w:rPr>
          <w:rFonts w:hint="default" w:ascii="Arial" w:hAnsi="Arial" w:eastAsia="仿宋_GB2312" w:cs="Arial"/>
          <w:b w:val="0"/>
          <w:bCs/>
          <w:sz w:val="30"/>
          <w:szCs w:val="30"/>
          <w:lang w:val="en-US" w:eastAsia="zh-CN"/>
        </w:rPr>
        <w:t>依托宁德时代在德国慕尼黑、法国巴黎、日本横宾、美国底特律等地的海外分支机构，系统构建教师海外研修与学生国际实践双向流动机制。有计划地选派核心专业教师赴海外技术中心与培训基地开展交流学习，深</w:t>
      </w:r>
      <w:r>
        <w:rPr>
          <w:rFonts w:hint="default" w:ascii="Arial" w:hAnsi="Arial" w:eastAsia="仿宋_GB2312" w:cs="Arial"/>
          <w:b w:val="0"/>
          <w:bCs/>
          <w:color w:val="auto"/>
          <w:sz w:val="30"/>
          <w:szCs w:val="30"/>
          <w:lang w:val="en-US" w:eastAsia="zh-CN"/>
        </w:rPr>
        <w:t>入了解国际前沿技术标准与产业动态，提升教师的国际化视野与教学研发能力。</w:t>
      </w:r>
      <w:r>
        <w:rPr>
          <w:rFonts w:hint="eastAsia" w:ascii="Arial" w:hAnsi="Arial" w:eastAsia="仿宋_GB2312" w:cs="Arial"/>
          <w:b w:val="0"/>
          <w:bCs/>
          <w:color w:val="auto"/>
          <w:sz w:val="30"/>
          <w:szCs w:val="30"/>
          <w:lang w:val="en-US" w:eastAsia="zh-CN"/>
        </w:rPr>
        <w:t>探索开发适用于职业教育国际合作办学品牌项目的专业建设标准及教学资源。</w:t>
      </w:r>
      <w:r>
        <w:rPr>
          <w:rFonts w:hint="default" w:ascii="Arial" w:hAnsi="Arial" w:eastAsia="仿宋_GB2312" w:cs="Arial"/>
          <w:b w:val="0"/>
          <w:bCs/>
          <w:color w:val="auto"/>
          <w:sz w:val="30"/>
          <w:szCs w:val="30"/>
          <w:lang w:val="en-US" w:eastAsia="zh-CN"/>
        </w:rPr>
        <w:t>同步推</w:t>
      </w:r>
      <w:r>
        <w:rPr>
          <w:rFonts w:hint="default" w:ascii="Arial" w:hAnsi="Arial" w:eastAsia="仿宋_GB2312" w:cs="Arial"/>
          <w:b w:val="0"/>
          <w:bCs/>
          <w:sz w:val="30"/>
          <w:szCs w:val="30"/>
          <w:lang w:val="en-US" w:eastAsia="zh-CN"/>
        </w:rPr>
        <w:t>进优秀毕业生海外实习与就业计划，遴选具备良好专业技能与外语沟通能力的毕业生，输送到海外服务站参与技术服务和运营管理工作，在实践中培养国际化技术技能人才</w:t>
      </w:r>
      <w:r>
        <w:rPr>
          <w:rFonts w:hint="eastAsia" w:ascii="Arial" w:hAnsi="Arial" w:eastAsia="仿宋_GB2312" w:cs="Arial"/>
          <w:b w:val="0"/>
          <w:bCs/>
          <w:sz w:val="30"/>
          <w:szCs w:val="30"/>
          <w:lang w:val="en-US" w:eastAsia="zh-CN"/>
        </w:rPr>
        <w:t>，</w:t>
      </w:r>
      <w:r>
        <w:rPr>
          <w:rFonts w:hint="default" w:ascii="Arial" w:hAnsi="Arial" w:eastAsia="仿宋_GB2312" w:cs="Arial"/>
          <w:b w:val="0"/>
          <w:bCs/>
          <w:sz w:val="30"/>
          <w:szCs w:val="30"/>
          <w:lang w:val="en-US" w:eastAsia="zh-CN"/>
        </w:rPr>
        <w:t>有效服务国家“走出去”战略，增强我国新能源汽车领域人才培养的全球适应性与影响力。</w:t>
      </w:r>
    </w:p>
    <w:p w14:paraId="0145FBA7">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600" w:firstLineChars="200"/>
        <w:jc w:val="both"/>
        <w:textAlignment w:val="auto"/>
        <w:rPr>
          <w:rFonts w:hint="eastAsia" w:ascii="黑体" w:hAnsi="黑体" w:eastAsia="黑体" w:cs="黑体"/>
          <w:b w:val="0"/>
          <w:bCs/>
          <w:sz w:val="30"/>
          <w:szCs w:val="30"/>
          <w:lang w:val="en-US" w:eastAsia="zh-CN"/>
        </w:rPr>
      </w:pPr>
      <w:r>
        <w:rPr>
          <w:rFonts w:hint="eastAsia" w:ascii="黑体" w:hAnsi="黑体" w:eastAsia="黑体" w:cs="黑体"/>
          <w:b w:val="0"/>
          <w:bCs/>
          <w:sz w:val="30"/>
          <w:szCs w:val="30"/>
          <w:lang w:val="en-US" w:eastAsia="zh-CN" w:bidi="ar-SA"/>
        </w:rPr>
        <w:t>三、</w:t>
      </w:r>
      <w:r>
        <w:rPr>
          <w:rFonts w:hint="eastAsia" w:ascii="黑体" w:hAnsi="黑体" w:eastAsia="黑体" w:cs="黑体"/>
          <w:b w:val="0"/>
          <w:bCs/>
          <w:sz w:val="30"/>
          <w:szCs w:val="30"/>
          <w:lang w:val="en-US" w:eastAsia="zh-CN"/>
        </w:rPr>
        <w:t>合作院校遴选原则</w:t>
      </w:r>
    </w:p>
    <w:p w14:paraId="28588E22">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02" w:firstLineChars="200"/>
        <w:jc w:val="both"/>
        <w:textAlignment w:val="auto"/>
        <w:rPr>
          <w:rFonts w:hint="eastAsia" w:ascii="Arial" w:hAnsi="Arial" w:eastAsia="仿宋_GB2312" w:cs="Arial"/>
          <w:b w:val="0"/>
          <w:bCs/>
          <w:sz w:val="30"/>
          <w:szCs w:val="30"/>
          <w:lang w:val="en-US" w:eastAsia="zh-CN"/>
        </w:rPr>
      </w:pPr>
      <w:r>
        <w:rPr>
          <w:rFonts w:hint="eastAsia" w:ascii="方正楷体_GB2312" w:hAnsi="方正楷体_GB2312" w:eastAsia="方正楷体_GB2312" w:cs="方正楷体_GB2312"/>
          <w:b/>
          <w:bCs/>
          <w:sz w:val="30"/>
          <w:szCs w:val="30"/>
          <w:lang w:val="en-US" w:eastAsia="zh-CN"/>
        </w:rPr>
        <w:t>（一）基础条件：</w:t>
      </w:r>
      <w:r>
        <w:rPr>
          <w:rFonts w:hint="eastAsia" w:ascii="Arial" w:hAnsi="Arial" w:eastAsia="仿宋_GB2312" w:cs="Arial"/>
          <w:b w:val="0"/>
          <w:bCs/>
          <w:sz w:val="30"/>
          <w:szCs w:val="30"/>
          <w:lang w:val="en-US" w:eastAsia="zh-CN"/>
        </w:rPr>
        <w:t>参与本项目的合作院校原则上应为</w:t>
      </w:r>
      <w:r>
        <w:rPr>
          <w:rFonts w:ascii="仿宋_GB2312" w:hAnsi="仿宋_GB2312" w:eastAsia="仿宋_GB2312" w:cs="仿宋_GB2312"/>
          <w:sz w:val="30"/>
          <w:szCs w:val="30"/>
        </w:rPr>
        <w:t>具有独立法人资格</w:t>
      </w:r>
      <w:r>
        <w:rPr>
          <w:rFonts w:hint="eastAsia" w:ascii="仿宋_GB2312" w:hAnsi="仿宋_GB2312" w:eastAsia="仿宋_GB2312" w:cs="仿宋_GB2312"/>
          <w:sz w:val="30"/>
          <w:szCs w:val="30"/>
          <w:lang w:val="en-US" w:eastAsia="zh-CN"/>
        </w:rPr>
        <w:t>的，</w:t>
      </w:r>
      <w:r>
        <w:rPr>
          <w:rFonts w:ascii="仿宋_GB2312" w:hAnsi="仿宋_GB2312" w:eastAsia="仿宋_GB2312" w:cs="仿宋_GB2312"/>
          <w:sz w:val="30"/>
          <w:szCs w:val="30"/>
        </w:rPr>
        <w:t>经国家教育部门批准设立的</w:t>
      </w:r>
      <w:r>
        <w:rPr>
          <w:rFonts w:hint="eastAsia" w:ascii="Arial" w:hAnsi="Arial" w:eastAsia="仿宋_GB2312" w:cs="Arial"/>
          <w:b w:val="0"/>
          <w:bCs/>
          <w:sz w:val="30"/>
          <w:szCs w:val="30"/>
          <w:lang w:val="en-US" w:eastAsia="zh-CN"/>
        </w:rPr>
        <w:t>高职专科或职业本科院校，具有新能源汽车领域相关专业，具备参加建设的愿意与资源投入能力，且已与新能源汽车行业主机厂建立稳定的校企合作关系，现有合作项目数量不少于3项。</w:t>
      </w:r>
    </w:p>
    <w:p w14:paraId="7F8AA682">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02" w:firstLineChars="200"/>
        <w:jc w:val="both"/>
        <w:textAlignment w:val="auto"/>
        <w:rPr>
          <w:rFonts w:hint="eastAsia" w:ascii="Arial" w:hAnsi="Arial" w:eastAsia="仿宋_GB2312" w:cs="Arial"/>
          <w:b w:val="0"/>
          <w:bCs/>
          <w:sz w:val="30"/>
          <w:szCs w:val="30"/>
          <w:lang w:val="en-US" w:eastAsia="zh-CN"/>
        </w:rPr>
      </w:pPr>
      <w:r>
        <w:rPr>
          <w:rFonts w:hint="eastAsia" w:ascii="方正楷体_GB2312" w:hAnsi="方正楷体_GB2312" w:eastAsia="方正楷体_GB2312" w:cs="方正楷体_GB2312"/>
          <w:b/>
          <w:bCs/>
          <w:sz w:val="30"/>
          <w:szCs w:val="30"/>
          <w:lang w:val="en-US" w:eastAsia="zh-CN"/>
        </w:rPr>
        <w:t>（二）场地及设备要求：</w:t>
      </w:r>
      <w:r>
        <w:rPr>
          <w:rFonts w:hint="eastAsia" w:ascii="Arial" w:hAnsi="Arial" w:eastAsia="仿宋_GB2312" w:cs="Arial"/>
          <w:b w:val="0"/>
          <w:bCs/>
          <w:sz w:val="30"/>
          <w:szCs w:val="30"/>
          <w:lang w:val="en-US" w:eastAsia="zh-CN"/>
        </w:rPr>
        <w:t>合作院校所提供实训基地总面积不低于500平方米，其中应独立设置不少于2个理论教学区，总面积不低于200平方米，可同时容纳至少50人开展理论教学。实操区域须配置3个标准整车工位、3个专业实验实训区（总面积不低于260平方米），并配套储藏室、办公室及企业文化展示区。相关专业设备、通用工具及专用绝缘工具应按教学与实训需求配备齐全，满足规范化、安全化教学要求。</w:t>
      </w:r>
    </w:p>
    <w:p w14:paraId="6E6C86E1">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02" w:firstLineChars="200"/>
        <w:jc w:val="both"/>
        <w:textAlignment w:val="auto"/>
        <w:rPr>
          <w:rFonts w:hint="eastAsia" w:ascii="Arial" w:hAnsi="Arial" w:eastAsia="仿宋_GB2312" w:cs="Arial"/>
          <w:b w:val="0"/>
          <w:bCs/>
          <w:sz w:val="30"/>
          <w:szCs w:val="30"/>
          <w:lang w:val="en-US" w:eastAsia="zh-CN"/>
        </w:rPr>
      </w:pPr>
      <w:r>
        <w:rPr>
          <w:rFonts w:hint="eastAsia" w:ascii="方正楷体_GB2312" w:hAnsi="方正楷体_GB2312" w:eastAsia="方正楷体_GB2312" w:cs="方正楷体_GB2312"/>
          <w:b/>
          <w:bCs/>
          <w:sz w:val="30"/>
          <w:szCs w:val="30"/>
          <w:lang w:val="en-US" w:eastAsia="zh-CN"/>
        </w:rPr>
        <w:t>（三）师资配备要求：</w:t>
      </w:r>
      <w:r>
        <w:rPr>
          <w:rFonts w:hint="eastAsia" w:ascii="Arial" w:hAnsi="Arial" w:eastAsia="仿宋_GB2312" w:cs="Arial"/>
          <w:b w:val="0"/>
          <w:bCs/>
          <w:sz w:val="30"/>
          <w:szCs w:val="30"/>
          <w:lang w:val="en-US" w:eastAsia="zh-CN"/>
        </w:rPr>
        <w:t>合作院校应拥有一支结构合理、素质优良的师资队伍，团队须配备不少于3名专职教师，教师应具备扎实的专业知识、良好的技术基础与综合素养，能够满足项目教学、实训与管理需要。</w:t>
      </w:r>
    </w:p>
    <w:p w14:paraId="33BB714C">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02" w:firstLineChars="200"/>
        <w:jc w:val="both"/>
        <w:textAlignment w:val="auto"/>
        <w:rPr>
          <w:rFonts w:hint="eastAsia" w:ascii="Arial" w:hAnsi="Arial" w:eastAsia="仿宋_GB2312" w:cs="Arial"/>
          <w:b w:val="0"/>
          <w:bCs/>
          <w:sz w:val="30"/>
          <w:szCs w:val="30"/>
          <w:lang w:val="en-US" w:eastAsia="zh-CN"/>
        </w:rPr>
      </w:pPr>
      <w:r>
        <w:rPr>
          <w:rFonts w:hint="eastAsia" w:ascii="方正楷体_GB2312" w:hAnsi="方正楷体_GB2312" w:eastAsia="方正楷体_GB2312" w:cs="方正楷体_GB2312"/>
          <w:b/>
          <w:bCs/>
          <w:sz w:val="30"/>
          <w:szCs w:val="30"/>
          <w:lang w:val="en-US" w:eastAsia="zh-CN"/>
        </w:rPr>
        <w:t>（四）生源保障要求：</w:t>
      </w:r>
      <w:r>
        <w:rPr>
          <w:rFonts w:hint="eastAsia" w:ascii="Arial" w:hAnsi="Arial" w:eastAsia="仿宋_GB2312" w:cs="Arial"/>
          <w:b w:val="0"/>
          <w:bCs/>
          <w:sz w:val="30"/>
          <w:szCs w:val="30"/>
          <w:lang w:val="en-US" w:eastAsia="zh-CN"/>
        </w:rPr>
        <w:t>合作专业应拥有稳定的招生渠道与生源质量，其年度招生计划及实际录取人数均能保障本项目持续运行，原则上每年相关专业招生规模不低于30人。</w:t>
      </w:r>
    </w:p>
    <w:p w14:paraId="3A012953">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600" w:firstLineChars="200"/>
        <w:jc w:val="both"/>
        <w:textAlignment w:val="auto"/>
        <w:rPr>
          <w:rFonts w:hint="eastAsia" w:ascii="黑体" w:hAnsi="黑体" w:eastAsia="黑体" w:cs="黑体"/>
          <w:b w:val="0"/>
          <w:bCs/>
          <w:sz w:val="30"/>
          <w:szCs w:val="30"/>
          <w:lang w:val="en-US" w:eastAsia="zh-CN"/>
        </w:rPr>
      </w:pPr>
      <w:r>
        <w:rPr>
          <w:rFonts w:hint="eastAsia" w:ascii="黑体" w:hAnsi="黑体" w:eastAsia="黑体" w:cs="黑体"/>
          <w:b w:val="0"/>
          <w:bCs/>
          <w:sz w:val="30"/>
          <w:szCs w:val="30"/>
          <w:lang w:val="en-US" w:eastAsia="zh-CN"/>
        </w:rPr>
        <w:t>四、项目实施与管理</w:t>
      </w:r>
    </w:p>
    <w:p w14:paraId="60EF3B6B">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02" w:firstLineChars="200"/>
        <w:jc w:val="both"/>
        <w:textAlignment w:val="auto"/>
        <w:rPr>
          <w:rFonts w:hint="default" w:ascii="方正楷体_GB2312" w:hAnsi="方正楷体_GB2312" w:eastAsia="方正楷体_GB2312" w:cs="方正楷体_GB2312"/>
          <w:b/>
          <w:bCs/>
          <w:sz w:val="30"/>
          <w:szCs w:val="30"/>
          <w:lang w:val="en-US" w:eastAsia="zh-CN"/>
        </w:rPr>
      </w:pPr>
      <w:r>
        <w:rPr>
          <w:rFonts w:hint="eastAsia" w:ascii="方正楷体_GB2312" w:hAnsi="方正楷体_GB2312" w:eastAsia="方正楷体_GB2312" w:cs="方正楷体_GB2312"/>
          <w:b/>
          <w:bCs/>
          <w:sz w:val="30"/>
          <w:szCs w:val="30"/>
          <w:lang w:val="en-US" w:eastAsia="zh-CN"/>
        </w:rPr>
        <w:t>（一）健全校企合作领导机制</w:t>
      </w:r>
    </w:p>
    <w:p w14:paraId="63EA9BA6">
      <w:pPr>
        <w:keepNext w:val="0"/>
        <w:keepLines w:val="0"/>
        <w:pageBreakBefore w:val="0"/>
        <w:widowControl w:val="0"/>
        <w:kinsoku/>
        <w:wordWrap/>
        <w:overflowPunct w:val="0"/>
        <w:topLinePunct w:val="0"/>
        <w:autoSpaceDE/>
        <w:autoSpaceDN/>
        <w:bidi w:val="0"/>
        <w:adjustRightInd/>
        <w:snapToGrid/>
        <w:spacing w:line="560" w:lineRule="exact"/>
        <w:ind w:left="0" w:firstLine="600" w:firstLineChars="200"/>
        <w:textAlignment w:val="auto"/>
        <w:rPr>
          <w:rFonts w:ascii="Segoe UI" w:hAnsi="Segoe UI" w:eastAsia="Segoe UI" w:cs="Segoe UI"/>
          <w:i w:val="0"/>
          <w:iCs w:val="0"/>
          <w:caps w:val="0"/>
          <w:color w:val="F9FAFB"/>
          <w:spacing w:val="0"/>
          <w:sz w:val="30"/>
          <w:szCs w:val="30"/>
          <w:shd w:val="clear" w:fill="151517"/>
        </w:rPr>
      </w:pPr>
      <w:r>
        <w:rPr>
          <w:rFonts w:ascii="仿宋_GB2312" w:hAnsi="仿宋_GB2312" w:eastAsia="仿宋_GB2312" w:cs="仿宋_GB2312"/>
          <w:sz w:val="30"/>
          <w:szCs w:val="30"/>
        </w:rPr>
        <w:t>成立由宁德时代、领充新能源及合作院校高层主管共同担任组长的项目领导小组，并下设各专项工作组。小组成员由各方对接部门中层正职及具体工作人员组成，负责全面推进合作项目建设，建立健全制度体系与运行管理机制，统筹校企资源，探索多元化合作模式，协调解决项目实施过程中的重大问题。</w:t>
      </w:r>
    </w:p>
    <w:p w14:paraId="7A4C8F24">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02" w:firstLineChars="200"/>
        <w:jc w:val="both"/>
        <w:textAlignment w:val="auto"/>
        <w:rPr>
          <w:rFonts w:hint="eastAsia" w:ascii="方正楷体_GB2312" w:hAnsi="方正楷体_GB2312" w:eastAsia="方正楷体_GB2312" w:cs="方正楷体_GB2312"/>
          <w:b/>
          <w:bCs/>
          <w:sz w:val="30"/>
          <w:szCs w:val="30"/>
          <w:lang w:val="en-US" w:eastAsia="zh-CN"/>
        </w:rPr>
      </w:pPr>
      <w:r>
        <w:rPr>
          <w:rFonts w:hint="eastAsia" w:ascii="方正楷体_GB2312" w:hAnsi="方正楷体_GB2312" w:eastAsia="方正楷体_GB2312" w:cs="方正楷体_GB2312"/>
          <w:b/>
          <w:bCs/>
          <w:sz w:val="30"/>
          <w:szCs w:val="30"/>
          <w:lang w:val="en-US" w:eastAsia="zh-CN"/>
        </w:rPr>
        <w:t xml:space="preserve">（二）建立校企联席会议制度 </w:t>
      </w:r>
    </w:p>
    <w:p w14:paraId="4A458D3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ascii="仿宋_GB2312" w:hAnsi="仿宋_GB2312" w:eastAsia="仿宋_GB2312" w:cs="仿宋_GB2312"/>
          <w:sz w:val="30"/>
          <w:szCs w:val="30"/>
        </w:rPr>
        <w:t>共同建立校企深度合作联席会议制度，定期组织召开联席会议，及时沟通项目进展，研究解决合作过程中出现的各类问题，持续优化实施方案，确保项目有序、高效推进。</w:t>
      </w:r>
    </w:p>
    <w:p w14:paraId="5561818A">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02" w:firstLineChars="200"/>
        <w:jc w:val="both"/>
        <w:textAlignment w:val="auto"/>
        <w:rPr>
          <w:rFonts w:hint="eastAsia" w:ascii="方正楷体_GB2312" w:hAnsi="方正楷体_GB2312" w:eastAsia="方正楷体_GB2312" w:cs="方正楷体_GB2312"/>
          <w:b/>
          <w:bCs/>
          <w:sz w:val="30"/>
          <w:szCs w:val="30"/>
          <w:lang w:val="en-US" w:eastAsia="zh-CN"/>
        </w:rPr>
      </w:pPr>
      <w:r>
        <w:rPr>
          <w:rFonts w:hint="eastAsia" w:ascii="方正楷体_GB2312" w:hAnsi="方正楷体_GB2312" w:eastAsia="方正楷体_GB2312" w:cs="方正楷体_GB2312"/>
          <w:b/>
          <w:bCs/>
          <w:sz w:val="30"/>
          <w:szCs w:val="30"/>
          <w:lang w:val="en-US" w:eastAsia="zh-CN"/>
        </w:rPr>
        <w:t>（三）完善毕业生就业推荐机制</w:t>
      </w:r>
    </w:p>
    <w:p w14:paraId="3154B7B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sz w:val="30"/>
          <w:szCs w:val="30"/>
          <w:lang w:val="en-US" w:eastAsia="zh-CN"/>
        </w:rPr>
      </w:pPr>
      <w:r>
        <w:rPr>
          <w:rFonts w:ascii="仿宋_GB2312" w:hAnsi="仿宋_GB2312" w:eastAsia="仿宋_GB2312" w:cs="仿宋_GB2312"/>
          <w:sz w:val="30"/>
          <w:szCs w:val="30"/>
        </w:rPr>
        <w:t>由宁德时代</w:t>
      </w:r>
      <w:r>
        <w:rPr>
          <w:rFonts w:hint="eastAsia" w:ascii="仿宋_GB2312" w:hAnsi="仿宋_GB2312" w:eastAsia="仿宋_GB2312" w:cs="仿宋_GB2312"/>
          <w:sz w:val="30"/>
          <w:szCs w:val="30"/>
          <w:lang w:eastAsia="zh-CN"/>
        </w:rPr>
        <w:t>、</w:t>
      </w:r>
      <w:r>
        <w:rPr>
          <w:rFonts w:ascii="仿宋_GB2312" w:hAnsi="仿宋_GB2312" w:eastAsia="仿宋_GB2312" w:cs="仿宋_GB2312"/>
          <w:sz w:val="30"/>
          <w:szCs w:val="30"/>
        </w:rPr>
        <w:t>领充</w:t>
      </w:r>
      <w:r>
        <w:rPr>
          <w:rFonts w:hint="eastAsia" w:ascii="仿宋_GB2312" w:hAnsi="仿宋_GB2312" w:eastAsia="仿宋_GB2312" w:cs="仿宋_GB2312"/>
          <w:sz w:val="30"/>
          <w:szCs w:val="30"/>
          <w:lang w:val="en-US" w:eastAsia="zh-CN"/>
        </w:rPr>
        <w:t>新能源</w:t>
      </w:r>
      <w:r>
        <w:rPr>
          <w:rFonts w:ascii="仿宋_GB2312" w:hAnsi="仿宋_GB2312" w:eastAsia="仿宋_GB2312" w:cs="仿宋_GB2312"/>
          <w:sz w:val="30"/>
          <w:szCs w:val="30"/>
        </w:rPr>
        <w:t>与</w:t>
      </w:r>
      <w:r>
        <w:rPr>
          <w:rFonts w:hint="eastAsia" w:ascii="仿宋_GB2312" w:hAnsi="仿宋_GB2312" w:eastAsia="仿宋_GB2312" w:cs="仿宋_GB2312"/>
          <w:sz w:val="30"/>
          <w:szCs w:val="30"/>
          <w:lang w:val="en-US" w:eastAsia="zh-CN"/>
        </w:rPr>
        <w:t>合作</w:t>
      </w:r>
      <w:r>
        <w:rPr>
          <w:rFonts w:ascii="仿宋_GB2312" w:hAnsi="仿宋_GB2312" w:eastAsia="仿宋_GB2312" w:cs="仿宋_GB2312"/>
          <w:sz w:val="30"/>
          <w:szCs w:val="30"/>
        </w:rPr>
        <w:t>院校共同</w:t>
      </w:r>
      <w:r>
        <w:rPr>
          <w:rFonts w:hint="eastAsia" w:ascii="仿宋_GB2312" w:hAnsi="仿宋_GB2312" w:eastAsia="仿宋_GB2312" w:cs="仿宋_GB2312"/>
          <w:sz w:val="30"/>
          <w:szCs w:val="30"/>
          <w:lang w:val="en-US" w:eastAsia="zh-CN"/>
        </w:rPr>
        <w:t>构建毕业生就业推荐机制，</w:t>
      </w:r>
      <w:r>
        <w:rPr>
          <w:rFonts w:ascii="仿宋_GB2312" w:hAnsi="仿宋_GB2312" w:eastAsia="仿宋_GB2312" w:cs="仿宋_GB2312"/>
          <w:sz w:val="30"/>
          <w:szCs w:val="30"/>
        </w:rPr>
        <w:t>定期汇总并发布产业链上下游企业人才需求信息，在合作院校中有序组织开展专项招聘活动。</w:t>
      </w:r>
    </w:p>
    <w:p w14:paraId="75E3B191">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02" w:firstLineChars="200"/>
        <w:jc w:val="both"/>
        <w:textAlignment w:val="auto"/>
        <w:rPr>
          <w:rFonts w:hint="default" w:ascii="方正楷体_GB2312" w:hAnsi="方正楷体_GB2312" w:eastAsia="方正楷体_GB2312" w:cs="方正楷体_GB2312"/>
          <w:b/>
          <w:bCs/>
          <w:sz w:val="30"/>
          <w:szCs w:val="30"/>
          <w:lang w:val="en-US" w:eastAsia="zh-CN"/>
        </w:rPr>
      </w:pPr>
      <w:r>
        <w:rPr>
          <w:rFonts w:hint="eastAsia" w:ascii="方正楷体_GB2312" w:hAnsi="方正楷体_GB2312" w:eastAsia="方正楷体_GB2312" w:cs="方正楷体_GB2312"/>
          <w:b/>
          <w:bCs/>
          <w:sz w:val="30"/>
          <w:szCs w:val="30"/>
          <w:lang w:val="en-US" w:eastAsia="zh-CN"/>
        </w:rPr>
        <w:t>（四）健全制度及资金保障体系</w:t>
      </w:r>
    </w:p>
    <w:p w14:paraId="201BB8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坚持多渠道、高标准保障项目建设所需资金。一方面，积极对接上级主管部门，全力争取各类财政性资金支持；另一方面，广泛拓展资金来源渠道，引导和吸纳社会资本、金融机构资金等多方力量参与投入。对现有职业教育相关领域的项目经费进行科学整合与合理统筹，优化资源配置。进一步建立健全项目资金管理办法及实施细则，明确资金使用范围、标准和程序。严格执行资金使用审批与监管流程，实行专户管理、分账核算，确保资金专款专用、流向清晰、合规高效。强化预算绩效管理，开展资金使用效益评估与审计监督，切实提高资金使用的规范性、安全性和有效性，为项目顺利实施提供坚实的财力支撑。</w:t>
      </w:r>
    </w:p>
    <w:p w14:paraId="77DBCE7D">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五、联系方式</w:t>
      </w:r>
    </w:p>
    <w:p w14:paraId="76AE7B3B">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02" w:firstLineChars="200"/>
        <w:jc w:val="both"/>
        <w:textAlignment w:val="auto"/>
        <w:rPr>
          <w:rFonts w:hint="eastAsia" w:ascii="方正楷体_GB2312" w:hAnsi="方正楷体_GB2312" w:eastAsia="方正楷体_GB2312" w:cs="方正楷体_GB2312"/>
          <w:b/>
          <w:bCs/>
          <w:sz w:val="30"/>
          <w:szCs w:val="30"/>
          <w:lang w:val="en-US" w:eastAsia="zh-CN"/>
        </w:rPr>
      </w:pPr>
      <w:r>
        <w:rPr>
          <w:rFonts w:hint="eastAsia" w:ascii="方正楷体_GB2312" w:hAnsi="方正楷体_GB2312" w:eastAsia="方正楷体_GB2312" w:cs="方正楷体_GB2312"/>
          <w:b/>
          <w:bCs/>
          <w:sz w:val="30"/>
          <w:szCs w:val="30"/>
          <w:lang w:val="en-US" w:eastAsia="zh-CN"/>
        </w:rPr>
        <w:t>（一）机械工业教育发展中心</w:t>
      </w:r>
    </w:p>
    <w:p w14:paraId="347EAAD7">
      <w:pPr>
        <w:keepNext w:val="0"/>
        <w:keepLines w:val="0"/>
        <w:pageBreakBefore w:val="0"/>
        <w:widowControl w:val="0"/>
        <w:kinsoku/>
        <w:wordWrap/>
        <w:overflowPunct/>
        <w:topLinePunct w:val="0"/>
        <w:autoSpaceDE/>
        <w:autoSpaceDN/>
        <w:bidi w:val="0"/>
        <w:adjustRightInd w:val="0"/>
        <w:snapToGrid w:val="0"/>
        <w:spacing w:line="560" w:lineRule="exact"/>
        <w:ind w:left="0" w:firstLine="600" w:firstLineChars="200"/>
        <w:jc w:val="both"/>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联</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lang w:eastAsia="zh-CN"/>
        </w:rPr>
        <w:t>系</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lang w:eastAsia="zh-CN"/>
        </w:rPr>
        <w:t>人：</w:t>
      </w:r>
      <w:r>
        <w:rPr>
          <w:rFonts w:hint="eastAsia" w:ascii="仿宋_GB2312" w:hAnsi="仿宋_GB2312" w:eastAsia="仿宋_GB2312" w:cs="仿宋_GB2312"/>
          <w:b w:val="0"/>
          <w:bCs w:val="0"/>
          <w:sz w:val="30"/>
          <w:szCs w:val="30"/>
          <w:lang w:val="en-US" w:eastAsia="zh-CN"/>
        </w:rPr>
        <w:t>李晓玫</w:t>
      </w:r>
    </w:p>
    <w:p w14:paraId="172201C2">
      <w:pPr>
        <w:keepNext w:val="0"/>
        <w:keepLines w:val="0"/>
        <w:pageBreakBefore w:val="0"/>
        <w:widowControl w:val="0"/>
        <w:kinsoku/>
        <w:wordWrap/>
        <w:overflowPunct/>
        <w:topLinePunct w:val="0"/>
        <w:autoSpaceDE/>
        <w:autoSpaceDN/>
        <w:bidi w:val="0"/>
        <w:adjustRightInd w:val="0"/>
        <w:snapToGrid w:val="0"/>
        <w:spacing w:line="560" w:lineRule="exact"/>
        <w:ind w:left="0"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eastAsia="zh-CN"/>
        </w:rPr>
        <w:t>联系电话：</w:t>
      </w:r>
      <w:r>
        <w:rPr>
          <w:rFonts w:hint="eastAsia" w:ascii="仿宋_GB2312" w:hAnsi="仿宋_GB2312" w:eastAsia="仿宋_GB2312" w:cs="仿宋_GB2312"/>
          <w:b w:val="0"/>
          <w:bCs w:val="0"/>
          <w:sz w:val="30"/>
          <w:szCs w:val="30"/>
          <w:lang w:val="en-US" w:eastAsia="zh-CN"/>
        </w:rPr>
        <w:t>15201125035</w:t>
      </w:r>
    </w:p>
    <w:p w14:paraId="2E5C78CC">
      <w:pPr>
        <w:keepNext w:val="0"/>
        <w:keepLines w:val="0"/>
        <w:pageBreakBefore w:val="0"/>
        <w:widowControl w:val="0"/>
        <w:kinsoku/>
        <w:wordWrap/>
        <w:overflowPunct/>
        <w:topLinePunct w:val="0"/>
        <w:autoSpaceDE/>
        <w:autoSpaceDN/>
        <w:bidi w:val="0"/>
        <w:adjustRightInd w:val="0"/>
        <w:snapToGrid w:val="0"/>
        <w:spacing w:line="560" w:lineRule="exact"/>
        <w:ind w:left="0" w:firstLine="600" w:firstLineChars="200"/>
        <w:jc w:val="both"/>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邮</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lang w:eastAsia="zh-CN"/>
        </w:rPr>
        <w:t>箱：jixiechanjiao@126.com</w:t>
      </w:r>
    </w:p>
    <w:p w14:paraId="295E6A6C">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02" w:firstLineChars="200"/>
        <w:jc w:val="both"/>
        <w:textAlignment w:val="auto"/>
        <w:rPr>
          <w:rFonts w:hint="eastAsia" w:ascii="方正楷体_GB2312" w:hAnsi="方正楷体_GB2312" w:eastAsia="方正楷体_GB2312" w:cs="方正楷体_GB2312"/>
          <w:b/>
          <w:bCs/>
          <w:sz w:val="30"/>
          <w:szCs w:val="30"/>
          <w:lang w:val="en-US" w:eastAsia="zh-CN"/>
        </w:rPr>
      </w:pPr>
      <w:r>
        <w:rPr>
          <w:rFonts w:hint="eastAsia" w:ascii="方正楷体_GB2312" w:hAnsi="方正楷体_GB2312" w:eastAsia="方正楷体_GB2312" w:cs="方正楷体_GB2312"/>
          <w:b/>
          <w:bCs/>
          <w:sz w:val="30"/>
          <w:szCs w:val="30"/>
          <w:lang w:val="en-US" w:eastAsia="zh-CN"/>
        </w:rPr>
        <w:t>（二）吉林省翱瑞科技股份有限公司</w:t>
      </w:r>
    </w:p>
    <w:p w14:paraId="3DBB5291">
      <w:pPr>
        <w:keepNext w:val="0"/>
        <w:keepLines w:val="0"/>
        <w:pageBreakBefore w:val="0"/>
        <w:widowControl w:val="0"/>
        <w:kinsoku/>
        <w:wordWrap/>
        <w:overflowPunct/>
        <w:topLinePunct w:val="0"/>
        <w:autoSpaceDE/>
        <w:autoSpaceDN/>
        <w:bidi w:val="0"/>
        <w:adjustRightInd w:val="0"/>
        <w:snapToGrid w:val="0"/>
        <w:spacing w:line="560" w:lineRule="exact"/>
        <w:ind w:left="0"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联系人：李大龙</w:t>
      </w:r>
    </w:p>
    <w:p w14:paraId="5B809438">
      <w:pPr>
        <w:keepNext w:val="0"/>
        <w:keepLines w:val="0"/>
        <w:pageBreakBefore w:val="0"/>
        <w:widowControl w:val="0"/>
        <w:kinsoku/>
        <w:wordWrap/>
        <w:overflowPunct/>
        <w:topLinePunct w:val="0"/>
        <w:autoSpaceDE/>
        <w:autoSpaceDN/>
        <w:bidi w:val="0"/>
        <w:adjustRightInd w:val="0"/>
        <w:snapToGrid w:val="0"/>
        <w:spacing w:line="560" w:lineRule="exact"/>
        <w:ind w:left="0"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联系电话：13514314399</w:t>
      </w:r>
    </w:p>
    <w:p w14:paraId="70CD9EB4">
      <w:pPr>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br w:type="page"/>
      </w:r>
    </w:p>
    <w:p w14:paraId="5C4EC97C">
      <w:pPr>
        <w:spacing w:line="360" w:lineRule="auto"/>
        <w:jc w:val="center"/>
        <w:rPr>
          <w:rFonts w:hint="eastAsia" w:ascii="方正公文小标宋" w:hAnsi="方正公文小标宋" w:eastAsia="方正公文小标宋" w:cs="方正公文小标宋"/>
          <w:b w:val="0"/>
          <w:bCs/>
          <w:sz w:val="36"/>
          <w:szCs w:val="36"/>
          <w:lang w:val="en-US" w:eastAsia="zh-CN"/>
        </w:rPr>
      </w:pPr>
      <w:r>
        <w:rPr>
          <w:rFonts w:hint="eastAsia" w:ascii="方正公文小标宋" w:hAnsi="方正公文小标宋" w:eastAsia="方正公文小标宋" w:cs="方正公文小标宋"/>
          <w:b w:val="0"/>
          <w:bCs/>
          <w:sz w:val="36"/>
          <w:szCs w:val="36"/>
          <w:lang w:val="en-US" w:eastAsia="zh-CN"/>
        </w:rPr>
        <w:t>机械行业</w:t>
      </w:r>
      <w:r>
        <w:rPr>
          <w:rFonts w:hint="eastAsia" w:ascii="方正公文小标宋" w:hAnsi="方正公文小标宋" w:eastAsia="方正公文小标宋" w:cs="方正公文小标宋"/>
          <w:b w:val="0"/>
          <w:bCs/>
          <w:sz w:val="36"/>
          <w:szCs w:val="36"/>
        </w:rPr>
        <w:t>新能源电池技术</w:t>
      </w:r>
      <w:r>
        <w:rPr>
          <w:rFonts w:hint="eastAsia" w:ascii="方正公文小标宋" w:hAnsi="方正公文小标宋" w:eastAsia="方正公文小标宋" w:cs="方正公文小标宋"/>
          <w:b w:val="0"/>
          <w:bCs/>
          <w:sz w:val="36"/>
          <w:szCs w:val="36"/>
          <w:lang w:val="en-US" w:eastAsia="zh-CN"/>
        </w:rPr>
        <w:t>及</w:t>
      </w:r>
      <w:r>
        <w:rPr>
          <w:rFonts w:hint="eastAsia" w:ascii="方正公文小标宋" w:hAnsi="方正公文小标宋" w:eastAsia="方正公文小标宋" w:cs="方正公文小标宋"/>
          <w:b w:val="0"/>
          <w:bCs/>
          <w:sz w:val="36"/>
          <w:szCs w:val="36"/>
        </w:rPr>
        <w:t>充放电测试研发</w:t>
      </w:r>
      <w:r>
        <w:rPr>
          <w:rFonts w:hint="eastAsia" w:ascii="方正公文小标宋" w:hAnsi="方正公文小标宋" w:eastAsia="方正公文小标宋" w:cs="方正公文小标宋"/>
          <w:b w:val="0"/>
          <w:bCs/>
          <w:sz w:val="36"/>
          <w:szCs w:val="36"/>
          <w:lang w:val="en-US" w:eastAsia="zh-CN"/>
        </w:rPr>
        <w:t>技术</w:t>
      </w:r>
    </w:p>
    <w:p w14:paraId="24BFAD26">
      <w:pPr>
        <w:keepNext w:val="0"/>
        <w:keepLines w:val="0"/>
        <w:pageBreakBefore w:val="0"/>
        <w:widowControl/>
        <w:kinsoku/>
        <w:wordWrap/>
        <w:overflowPunct/>
        <w:topLinePunct w:val="0"/>
        <w:autoSpaceDE/>
        <w:autoSpaceDN/>
        <w:bidi w:val="0"/>
        <w:snapToGrid/>
        <w:spacing w:line="360" w:lineRule="auto"/>
        <w:jc w:val="center"/>
        <w:textAlignment w:val="auto"/>
        <w:rPr>
          <w:rFonts w:hint="eastAsia" w:ascii="方正小标宋_GBK" w:hAnsi="黑体" w:eastAsia="方正小标宋_GBK" w:cs="黑体"/>
          <w:color w:val="auto"/>
          <w:kern w:val="2"/>
          <w:sz w:val="40"/>
          <w:szCs w:val="40"/>
          <w:lang w:val="en-US" w:eastAsia="zh-CN" w:bidi="ar-SA"/>
        </w:rPr>
      </w:pPr>
      <w:r>
        <w:rPr>
          <w:rFonts w:hint="eastAsia" w:ascii="方正公文小标宋" w:hAnsi="方正公文小标宋" w:eastAsia="方正公文小标宋" w:cs="方正公文小标宋"/>
          <w:b w:val="0"/>
          <w:bCs/>
          <w:sz w:val="36"/>
          <w:szCs w:val="36"/>
        </w:rPr>
        <w:t>产教融创中心</w:t>
      </w:r>
      <w:r>
        <w:rPr>
          <w:rFonts w:hint="eastAsia" w:ascii="方正公文小标宋" w:hAnsi="方正公文小标宋" w:eastAsia="方正公文小标宋" w:cs="方正公文小标宋"/>
          <w:b w:val="0"/>
          <w:bCs/>
          <w:color w:val="auto"/>
          <w:kern w:val="2"/>
          <w:sz w:val="36"/>
          <w:szCs w:val="36"/>
          <w:lang w:val="en-US" w:eastAsia="zh-CN" w:bidi="ar-SA"/>
        </w:rPr>
        <w:t>共建单位申请表</w:t>
      </w:r>
    </w:p>
    <w:tbl>
      <w:tblPr>
        <w:tblStyle w:val="2"/>
        <w:tblW w:w="95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2"/>
        <w:gridCol w:w="1656"/>
        <w:gridCol w:w="1318"/>
        <w:gridCol w:w="1872"/>
        <w:gridCol w:w="1346"/>
        <w:gridCol w:w="1301"/>
        <w:gridCol w:w="1301"/>
      </w:tblGrid>
      <w:tr w14:paraId="1DD1D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722" w:type="dxa"/>
            <w:vMerge w:val="restart"/>
            <w:tcBorders>
              <w:tl2br w:val="nil"/>
              <w:tr2bl w:val="nil"/>
            </w:tcBorders>
            <w:textDirection w:val="tbRlV"/>
            <w:vAlign w:val="center"/>
          </w:tcPr>
          <w:p w14:paraId="4B24BA1E">
            <w:pPr>
              <w:ind w:left="0" w:leftChars="0" w:firstLine="0" w:firstLineChars="0"/>
              <w:jc w:val="center"/>
              <w:rPr>
                <w:rFonts w:ascii="仿宋" w:hAnsi="仿宋" w:eastAsia="仿宋" w:cs="仿宋"/>
                <w:b/>
                <w:bCs/>
                <w:color w:val="auto"/>
                <w:sz w:val="28"/>
                <w:szCs w:val="28"/>
              </w:rPr>
            </w:pPr>
            <w:r>
              <w:rPr>
                <w:rFonts w:hint="eastAsia" w:ascii="仿宋" w:hAnsi="仿宋" w:eastAsia="仿宋" w:cs="仿宋"/>
                <w:b/>
                <w:bCs/>
                <w:color w:val="auto"/>
                <w:sz w:val="28"/>
                <w:szCs w:val="28"/>
              </w:rPr>
              <w:t>申报单位情况</w:t>
            </w:r>
          </w:p>
        </w:tc>
        <w:tc>
          <w:tcPr>
            <w:tcW w:w="1656" w:type="dxa"/>
            <w:tcBorders>
              <w:tl2br w:val="nil"/>
              <w:tr2bl w:val="nil"/>
            </w:tcBorders>
            <w:vAlign w:val="center"/>
          </w:tcPr>
          <w:p w14:paraId="66C53230">
            <w:pPr>
              <w:jc w:val="center"/>
              <w:textAlignment w:val="center"/>
              <w:rPr>
                <w:rFonts w:ascii="仿宋" w:hAnsi="仿宋" w:eastAsia="仿宋" w:cs="仿宋"/>
                <w:b/>
                <w:bCs/>
                <w:color w:val="auto"/>
                <w:sz w:val="24"/>
                <w:szCs w:val="24"/>
              </w:rPr>
            </w:pPr>
            <w:r>
              <w:rPr>
                <w:rFonts w:hint="eastAsia" w:ascii="仿宋" w:hAnsi="仿宋" w:eastAsia="仿宋" w:cs="仿宋"/>
                <w:b/>
                <w:bCs/>
                <w:color w:val="auto"/>
                <w:sz w:val="24"/>
                <w:szCs w:val="24"/>
              </w:rPr>
              <w:t>单位名称</w:t>
            </w:r>
          </w:p>
        </w:tc>
        <w:tc>
          <w:tcPr>
            <w:tcW w:w="7138" w:type="dxa"/>
            <w:gridSpan w:val="5"/>
            <w:tcBorders>
              <w:tl2br w:val="nil"/>
              <w:tr2bl w:val="nil"/>
            </w:tcBorders>
            <w:vAlign w:val="center"/>
          </w:tcPr>
          <w:p w14:paraId="2DFF82B8">
            <w:pPr>
              <w:jc w:val="center"/>
              <w:textAlignment w:val="center"/>
              <w:rPr>
                <w:rFonts w:ascii="仿宋_GB2312" w:hAnsi="宋体" w:eastAsia="仿宋_GB2312" w:cs="仿宋_GB2312"/>
                <w:color w:val="auto"/>
                <w:szCs w:val="24"/>
              </w:rPr>
            </w:pPr>
          </w:p>
        </w:tc>
      </w:tr>
      <w:tr w14:paraId="567F4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722" w:type="dxa"/>
            <w:vMerge w:val="continue"/>
            <w:tcBorders>
              <w:tl2br w:val="nil"/>
              <w:tr2bl w:val="nil"/>
            </w:tcBorders>
            <w:textDirection w:val="tbRlV"/>
            <w:vAlign w:val="center"/>
          </w:tcPr>
          <w:p w14:paraId="2463C1A5">
            <w:pPr>
              <w:jc w:val="center"/>
              <w:rPr>
                <w:rFonts w:ascii="仿宋" w:hAnsi="仿宋" w:eastAsia="仿宋" w:cs="仿宋"/>
                <w:b/>
                <w:bCs/>
                <w:color w:val="auto"/>
                <w:sz w:val="28"/>
                <w:szCs w:val="28"/>
              </w:rPr>
            </w:pPr>
          </w:p>
        </w:tc>
        <w:tc>
          <w:tcPr>
            <w:tcW w:w="1656" w:type="dxa"/>
            <w:tcBorders>
              <w:tl2br w:val="nil"/>
              <w:tr2bl w:val="nil"/>
            </w:tcBorders>
            <w:vAlign w:val="center"/>
          </w:tcPr>
          <w:p w14:paraId="7870C45E">
            <w:pPr>
              <w:jc w:val="center"/>
              <w:textAlignment w:val="center"/>
              <w:rPr>
                <w:rFonts w:ascii="仿宋" w:hAnsi="仿宋" w:eastAsia="仿宋" w:cs="仿宋"/>
                <w:b/>
                <w:bCs/>
                <w:color w:val="auto"/>
                <w:sz w:val="24"/>
                <w:szCs w:val="24"/>
              </w:rPr>
            </w:pPr>
            <w:r>
              <w:rPr>
                <w:rFonts w:hint="eastAsia" w:ascii="仿宋" w:hAnsi="仿宋" w:eastAsia="仿宋" w:cs="仿宋"/>
                <w:b/>
                <w:bCs/>
                <w:color w:val="auto"/>
                <w:sz w:val="24"/>
                <w:szCs w:val="24"/>
              </w:rPr>
              <w:t>地</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址</w:t>
            </w:r>
          </w:p>
        </w:tc>
        <w:tc>
          <w:tcPr>
            <w:tcW w:w="4536" w:type="dxa"/>
            <w:gridSpan w:val="3"/>
            <w:tcBorders>
              <w:tl2br w:val="nil"/>
              <w:tr2bl w:val="nil"/>
            </w:tcBorders>
            <w:vAlign w:val="center"/>
          </w:tcPr>
          <w:p w14:paraId="6966AC90">
            <w:pPr>
              <w:jc w:val="center"/>
              <w:textAlignment w:val="center"/>
              <w:rPr>
                <w:rFonts w:ascii="仿宋_GB2312" w:hAnsi="宋体" w:eastAsia="仿宋_GB2312" w:cs="仿宋_GB2312"/>
                <w:color w:val="auto"/>
                <w:szCs w:val="24"/>
              </w:rPr>
            </w:pPr>
          </w:p>
        </w:tc>
        <w:tc>
          <w:tcPr>
            <w:tcW w:w="1301" w:type="dxa"/>
            <w:tcBorders>
              <w:tl2br w:val="nil"/>
              <w:tr2bl w:val="nil"/>
            </w:tcBorders>
            <w:vAlign w:val="center"/>
          </w:tcPr>
          <w:p w14:paraId="29D106A6">
            <w:pPr>
              <w:jc w:val="center"/>
              <w:textAlignment w:val="center"/>
              <w:rPr>
                <w:rFonts w:ascii="仿宋_GB2312" w:hAnsi="宋体" w:eastAsia="仿宋_GB2312" w:cs="仿宋_GB2312"/>
                <w:color w:val="auto"/>
                <w:szCs w:val="24"/>
              </w:rPr>
            </w:pPr>
            <w:r>
              <w:rPr>
                <w:rFonts w:hint="eastAsia" w:ascii="仿宋" w:hAnsi="仿宋" w:eastAsia="仿宋" w:cs="仿宋"/>
                <w:b/>
                <w:bCs/>
                <w:color w:val="auto"/>
                <w:sz w:val="24"/>
                <w:szCs w:val="24"/>
              </w:rPr>
              <w:t>邮</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编</w:t>
            </w:r>
          </w:p>
        </w:tc>
        <w:tc>
          <w:tcPr>
            <w:tcW w:w="1301" w:type="dxa"/>
            <w:tcBorders>
              <w:tl2br w:val="nil"/>
              <w:tr2bl w:val="nil"/>
            </w:tcBorders>
            <w:vAlign w:val="center"/>
          </w:tcPr>
          <w:p w14:paraId="3ED1A063">
            <w:pPr>
              <w:jc w:val="center"/>
              <w:textAlignment w:val="center"/>
              <w:rPr>
                <w:rFonts w:ascii="仿宋_GB2312" w:hAnsi="宋体" w:eastAsia="仿宋_GB2312" w:cs="仿宋_GB2312"/>
                <w:color w:val="auto"/>
                <w:szCs w:val="24"/>
              </w:rPr>
            </w:pPr>
          </w:p>
        </w:tc>
      </w:tr>
      <w:tr w14:paraId="2CAA5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22" w:type="dxa"/>
            <w:vMerge w:val="continue"/>
            <w:tcBorders>
              <w:tl2br w:val="nil"/>
              <w:tr2bl w:val="nil"/>
            </w:tcBorders>
            <w:textDirection w:val="tbRlV"/>
            <w:vAlign w:val="center"/>
          </w:tcPr>
          <w:p w14:paraId="73046F51">
            <w:pPr>
              <w:jc w:val="center"/>
              <w:rPr>
                <w:rFonts w:ascii="仿宋" w:hAnsi="仿宋" w:eastAsia="仿宋" w:cs="仿宋"/>
                <w:b/>
                <w:bCs/>
                <w:color w:val="auto"/>
                <w:sz w:val="28"/>
                <w:szCs w:val="28"/>
              </w:rPr>
            </w:pPr>
          </w:p>
        </w:tc>
        <w:tc>
          <w:tcPr>
            <w:tcW w:w="1656" w:type="dxa"/>
            <w:tcBorders>
              <w:tl2br w:val="nil"/>
              <w:tr2bl w:val="nil"/>
            </w:tcBorders>
            <w:vAlign w:val="center"/>
          </w:tcPr>
          <w:p w14:paraId="4CD45BBE">
            <w:pPr>
              <w:jc w:val="center"/>
              <w:textAlignment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rPr>
              <w:t>单位类型</w:t>
            </w:r>
          </w:p>
        </w:tc>
        <w:tc>
          <w:tcPr>
            <w:tcW w:w="7138" w:type="dxa"/>
            <w:gridSpan w:val="5"/>
            <w:tcBorders>
              <w:tl2br w:val="nil"/>
              <w:tr2bl w:val="nil"/>
            </w:tcBorders>
            <w:vAlign w:val="center"/>
          </w:tcPr>
          <w:p w14:paraId="384591F5">
            <w:pPr>
              <w:rPr>
                <w:rFonts w:hint="default" w:ascii="仿宋_GB2312" w:hAnsi="宋体" w:eastAsia="仿宋_GB2312" w:cs="仿宋_GB2312"/>
                <w:color w:val="auto"/>
                <w:szCs w:val="24"/>
                <w:lang w:val="en-US" w:eastAsia="zh-CN"/>
              </w:rPr>
            </w:pPr>
            <w:r>
              <w:rPr>
                <w:rFonts w:hint="eastAsia" w:ascii="仿宋_GB2312" w:hAnsi="宋体" w:eastAsia="仿宋_GB2312" w:cs="仿宋_GB2312"/>
                <w:color w:val="auto"/>
                <w:szCs w:val="24"/>
              </w:rPr>
              <w:t>□</w:t>
            </w:r>
            <w:r>
              <w:rPr>
                <w:rFonts w:hint="eastAsia" w:ascii="仿宋_GB2312" w:hAnsi="宋体" w:eastAsia="仿宋_GB2312" w:cs="仿宋_GB2312"/>
                <w:color w:val="auto"/>
              </w:rPr>
              <w:t>应用型本科院校</w:t>
            </w:r>
            <w:r>
              <w:rPr>
                <w:rFonts w:hint="eastAsia" w:ascii="仿宋_GB2312" w:hAnsi="宋体" w:eastAsia="仿宋_GB2312" w:cs="仿宋_GB2312"/>
                <w:color w:val="auto"/>
                <w:szCs w:val="24"/>
              </w:rPr>
              <w:t xml:space="preserve">  </w:t>
            </w:r>
            <w:r>
              <w:rPr>
                <w:rFonts w:ascii="仿宋_GB2312" w:hAnsi="宋体" w:eastAsia="仿宋_GB2312" w:cs="仿宋_GB2312"/>
                <w:color w:val="auto"/>
                <w:szCs w:val="24"/>
              </w:rPr>
              <w:t xml:space="preserve">  </w:t>
            </w:r>
            <w:r>
              <w:rPr>
                <w:rFonts w:hint="eastAsia" w:ascii="仿宋_GB2312" w:hAnsi="宋体" w:eastAsia="仿宋_GB2312" w:cs="仿宋_GB2312"/>
                <w:color w:val="auto"/>
                <w:szCs w:val="24"/>
              </w:rPr>
              <w:t xml:space="preserve"> </w:t>
            </w:r>
            <w:r>
              <w:rPr>
                <w:rFonts w:ascii="仿宋_GB2312" w:hAnsi="宋体" w:eastAsia="仿宋_GB2312" w:cs="仿宋_GB2312"/>
                <w:color w:val="auto"/>
                <w:szCs w:val="24"/>
              </w:rPr>
              <w:t xml:space="preserve"> </w:t>
            </w:r>
            <w:r>
              <w:rPr>
                <w:rFonts w:hint="eastAsia" w:ascii="仿宋_GB2312" w:hAnsi="宋体" w:eastAsia="仿宋_GB2312" w:cs="仿宋_GB2312"/>
                <w:color w:val="auto"/>
                <w:szCs w:val="24"/>
              </w:rPr>
              <w:t>□</w:t>
            </w:r>
            <w:r>
              <w:rPr>
                <w:rFonts w:hint="eastAsia" w:ascii="仿宋_GB2312" w:hAnsi="宋体" w:eastAsia="仿宋_GB2312" w:cs="仿宋_GB2312"/>
                <w:color w:val="auto"/>
                <w:szCs w:val="24"/>
                <w:lang w:val="en-US" w:eastAsia="zh-CN"/>
              </w:rPr>
              <w:t>高职本科</w:t>
            </w:r>
            <w:r>
              <w:rPr>
                <w:rFonts w:hint="eastAsia" w:ascii="仿宋_GB2312" w:hAnsi="宋体" w:eastAsia="仿宋_GB2312" w:cs="仿宋_GB2312"/>
                <w:color w:val="auto"/>
                <w:szCs w:val="24"/>
              </w:rPr>
              <w:t>院校     □</w:t>
            </w:r>
            <w:r>
              <w:rPr>
                <w:rFonts w:hint="eastAsia" w:ascii="仿宋_GB2312" w:hAnsi="宋体" w:eastAsia="仿宋_GB2312" w:cs="仿宋_GB2312"/>
                <w:color w:val="auto"/>
                <w:szCs w:val="24"/>
                <w:lang w:val="en-US" w:eastAsia="zh-CN"/>
              </w:rPr>
              <w:t>高职专科院校</w:t>
            </w:r>
          </w:p>
          <w:p w14:paraId="09E47F39">
            <w:pPr>
              <w:jc w:val="both"/>
              <w:rPr>
                <w:rFonts w:ascii="仿宋_GB2312" w:hAnsi="宋体" w:eastAsia="仿宋_GB2312" w:cs="仿宋_GB2312"/>
                <w:color w:val="auto"/>
                <w:szCs w:val="24"/>
              </w:rPr>
            </w:pPr>
            <w:r>
              <w:rPr>
                <w:rFonts w:hint="eastAsia" w:ascii="仿宋_GB2312" w:hAnsi="宋体" w:eastAsia="仿宋_GB2312" w:cs="仿宋_GB2312"/>
                <w:color w:val="auto"/>
                <w:szCs w:val="24"/>
              </w:rPr>
              <w:t>□其他</w:t>
            </w:r>
            <w:r>
              <w:rPr>
                <w:rFonts w:ascii="仿宋_GB2312" w:hAnsi="宋体" w:eastAsia="仿宋_GB2312" w:cs="仿宋_GB2312"/>
                <w:color w:val="auto"/>
                <w:szCs w:val="24"/>
                <w:u w:val="single"/>
              </w:rPr>
              <w:t xml:space="preserve">              </w:t>
            </w:r>
          </w:p>
        </w:tc>
      </w:tr>
      <w:tr w14:paraId="032A4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22" w:type="dxa"/>
            <w:vMerge w:val="continue"/>
            <w:tcBorders>
              <w:tl2br w:val="nil"/>
              <w:tr2bl w:val="nil"/>
            </w:tcBorders>
            <w:textDirection w:val="tbRlV"/>
            <w:vAlign w:val="center"/>
          </w:tcPr>
          <w:p w14:paraId="03A819E9">
            <w:pPr>
              <w:jc w:val="center"/>
              <w:rPr>
                <w:rFonts w:ascii="仿宋" w:hAnsi="仿宋" w:eastAsia="仿宋" w:cs="仿宋"/>
                <w:b/>
                <w:bCs/>
                <w:color w:val="auto"/>
                <w:sz w:val="28"/>
                <w:szCs w:val="28"/>
              </w:rPr>
            </w:pPr>
          </w:p>
        </w:tc>
        <w:tc>
          <w:tcPr>
            <w:tcW w:w="1656" w:type="dxa"/>
            <w:tcBorders>
              <w:tl2br w:val="nil"/>
              <w:tr2bl w:val="nil"/>
            </w:tcBorders>
            <w:vAlign w:val="center"/>
          </w:tcPr>
          <w:p w14:paraId="04807341">
            <w:pPr>
              <w:jc w:val="center"/>
              <w:textAlignment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是否国家级双高计划建设单位</w:t>
            </w:r>
          </w:p>
        </w:tc>
        <w:tc>
          <w:tcPr>
            <w:tcW w:w="3190" w:type="dxa"/>
            <w:gridSpan w:val="2"/>
            <w:tcBorders>
              <w:tl2br w:val="nil"/>
              <w:tr2bl w:val="nil"/>
            </w:tcBorders>
            <w:vAlign w:val="center"/>
          </w:tcPr>
          <w:p w14:paraId="04555E8A">
            <w:pPr>
              <w:rPr>
                <w:rFonts w:hint="eastAsia" w:ascii="仿宋" w:hAnsi="仿宋" w:eastAsia="仿宋" w:cs="仿宋"/>
                <w:b/>
                <w:bCs/>
                <w:color w:val="auto"/>
                <w:sz w:val="24"/>
                <w:szCs w:val="24"/>
                <w:lang w:val="en-US" w:eastAsia="zh-CN"/>
              </w:rPr>
            </w:pPr>
            <w:r>
              <w:rPr>
                <w:rFonts w:hint="eastAsia" w:ascii="仿宋_GB2312" w:hAnsi="宋体" w:eastAsia="仿宋_GB2312" w:cs="仿宋_GB2312"/>
                <w:color w:val="auto"/>
                <w:szCs w:val="24"/>
                <w:lang w:val="en-US" w:eastAsia="zh-CN"/>
              </w:rPr>
              <w:t>□是       □否</w:t>
            </w:r>
          </w:p>
        </w:tc>
        <w:tc>
          <w:tcPr>
            <w:tcW w:w="1346" w:type="dxa"/>
            <w:tcBorders>
              <w:tl2br w:val="nil"/>
              <w:tr2bl w:val="nil"/>
            </w:tcBorders>
            <w:vAlign w:val="center"/>
          </w:tcPr>
          <w:p w14:paraId="1D0A667D">
            <w:pPr>
              <w:jc w:val="center"/>
              <w:textAlignment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是否省级双高计划建设单位</w:t>
            </w:r>
          </w:p>
        </w:tc>
        <w:tc>
          <w:tcPr>
            <w:tcW w:w="2602" w:type="dxa"/>
            <w:gridSpan w:val="2"/>
            <w:tcBorders>
              <w:tl2br w:val="nil"/>
              <w:tr2bl w:val="nil"/>
            </w:tcBorders>
            <w:vAlign w:val="center"/>
          </w:tcPr>
          <w:p w14:paraId="4703C13D">
            <w:pPr>
              <w:rPr>
                <w:rFonts w:hint="eastAsia" w:ascii="仿宋" w:hAnsi="仿宋" w:eastAsia="仿宋" w:cs="仿宋"/>
                <w:b/>
                <w:bCs/>
                <w:color w:val="auto"/>
                <w:sz w:val="24"/>
                <w:szCs w:val="24"/>
                <w:lang w:val="en-US" w:eastAsia="zh-CN"/>
              </w:rPr>
            </w:pPr>
            <w:r>
              <w:rPr>
                <w:rFonts w:hint="eastAsia" w:ascii="仿宋_GB2312" w:hAnsi="宋体" w:eastAsia="仿宋_GB2312" w:cs="仿宋_GB2312"/>
                <w:color w:val="auto"/>
                <w:szCs w:val="24"/>
                <w:lang w:val="en-US" w:eastAsia="zh-CN"/>
              </w:rPr>
              <w:t>□是       □否</w:t>
            </w:r>
          </w:p>
        </w:tc>
      </w:tr>
      <w:tr w14:paraId="4278C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22" w:type="dxa"/>
            <w:vMerge w:val="continue"/>
            <w:tcBorders>
              <w:tl2br w:val="nil"/>
              <w:tr2bl w:val="nil"/>
            </w:tcBorders>
            <w:textDirection w:val="tbRlV"/>
            <w:vAlign w:val="center"/>
          </w:tcPr>
          <w:p w14:paraId="56E8A38D">
            <w:pPr>
              <w:jc w:val="center"/>
              <w:rPr>
                <w:rFonts w:ascii="仿宋" w:hAnsi="仿宋" w:eastAsia="仿宋" w:cs="仿宋"/>
                <w:b/>
                <w:bCs/>
                <w:color w:val="auto"/>
                <w:sz w:val="28"/>
                <w:szCs w:val="28"/>
              </w:rPr>
            </w:pPr>
          </w:p>
        </w:tc>
        <w:tc>
          <w:tcPr>
            <w:tcW w:w="1656" w:type="dxa"/>
            <w:tcBorders>
              <w:tl2br w:val="nil"/>
              <w:tr2bl w:val="nil"/>
            </w:tcBorders>
            <w:vAlign w:val="center"/>
          </w:tcPr>
          <w:p w14:paraId="11C045A9">
            <w:pPr>
              <w:jc w:val="center"/>
              <w:textAlignment w:val="cente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依托二级学院（系）</w:t>
            </w:r>
          </w:p>
        </w:tc>
        <w:tc>
          <w:tcPr>
            <w:tcW w:w="3190" w:type="dxa"/>
            <w:gridSpan w:val="2"/>
            <w:tcBorders>
              <w:tl2br w:val="nil"/>
              <w:tr2bl w:val="nil"/>
            </w:tcBorders>
            <w:vAlign w:val="center"/>
          </w:tcPr>
          <w:p w14:paraId="47E035EF">
            <w:pPr>
              <w:jc w:val="center"/>
              <w:rPr>
                <w:rFonts w:ascii="仿宋_GB2312" w:hAnsi="宋体" w:eastAsia="仿宋_GB2312" w:cs="仿宋_GB2312"/>
                <w:color w:val="auto"/>
                <w:szCs w:val="24"/>
              </w:rPr>
            </w:pPr>
          </w:p>
        </w:tc>
        <w:tc>
          <w:tcPr>
            <w:tcW w:w="1346" w:type="dxa"/>
            <w:tcBorders>
              <w:tl2br w:val="nil"/>
              <w:tr2bl w:val="nil"/>
            </w:tcBorders>
            <w:vAlign w:val="center"/>
          </w:tcPr>
          <w:p w14:paraId="3DD6EF53">
            <w:pPr>
              <w:jc w:val="center"/>
              <w:textAlignment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专业（群）</w:t>
            </w:r>
          </w:p>
          <w:p w14:paraId="5A48819E">
            <w:pPr>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名称</w:t>
            </w:r>
          </w:p>
        </w:tc>
        <w:tc>
          <w:tcPr>
            <w:tcW w:w="2602" w:type="dxa"/>
            <w:gridSpan w:val="2"/>
            <w:tcBorders>
              <w:tl2br w:val="nil"/>
              <w:tr2bl w:val="nil"/>
            </w:tcBorders>
            <w:vAlign w:val="center"/>
          </w:tcPr>
          <w:p w14:paraId="321E1864">
            <w:pPr>
              <w:jc w:val="center"/>
              <w:rPr>
                <w:rFonts w:ascii="仿宋_GB2312" w:hAnsi="宋体" w:eastAsia="仿宋_GB2312" w:cs="仿宋_GB2312"/>
                <w:color w:val="auto"/>
                <w:szCs w:val="24"/>
              </w:rPr>
            </w:pPr>
          </w:p>
        </w:tc>
      </w:tr>
      <w:tr w14:paraId="2D854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22" w:type="dxa"/>
            <w:vMerge w:val="continue"/>
            <w:tcBorders>
              <w:tl2br w:val="nil"/>
              <w:tr2bl w:val="nil"/>
            </w:tcBorders>
            <w:textDirection w:val="tbRlV"/>
            <w:vAlign w:val="center"/>
          </w:tcPr>
          <w:p w14:paraId="6423B335">
            <w:pPr>
              <w:jc w:val="center"/>
              <w:rPr>
                <w:rFonts w:ascii="仿宋" w:hAnsi="仿宋" w:eastAsia="仿宋" w:cs="仿宋"/>
                <w:b/>
                <w:bCs/>
                <w:color w:val="auto"/>
                <w:sz w:val="28"/>
                <w:szCs w:val="28"/>
              </w:rPr>
            </w:pPr>
          </w:p>
        </w:tc>
        <w:tc>
          <w:tcPr>
            <w:tcW w:w="1656" w:type="dxa"/>
            <w:vMerge w:val="restart"/>
            <w:tcBorders>
              <w:tl2br w:val="nil"/>
              <w:tr2bl w:val="nil"/>
            </w:tcBorders>
            <w:vAlign w:val="center"/>
          </w:tcPr>
          <w:p w14:paraId="76842FDD">
            <w:pPr>
              <w:jc w:val="center"/>
              <w:textAlignment w:val="cente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项目负责人</w:t>
            </w:r>
          </w:p>
        </w:tc>
        <w:tc>
          <w:tcPr>
            <w:tcW w:w="1318" w:type="dxa"/>
            <w:tcBorders>
              <w:tl2br w:val="nil"/>
              <w:tr2bl w:val="nil"/>
            </w:tcBorders>
            <w:vAlign w:val="center"/>
          </w:tcPr>
          <w:p w14:paraId="4C82BFA2">
            <w:pPr>
              <w:jc w:val="center"/>
              <w:textAlignment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姓  名</w:t>
            </w:r>
          </w:p>
        </w:tc>
        <w:tc>
          <w:tcPr>
            <w:tcW w:w="1872" w:type="dxa"/>
            <w:tcBorders>
              <w:tl2br w:val="nil"/>
              <w:tr2bl w:val="nil"/>
            </w:tcBorders>
            <w:vAlign w:val="center"/>
          </w:tcPr>
          <w:p w14:paraId="20A6DC7C">
            <w:pPr>
              <w:jc w:val="center"/>
              <w:rPr>
                <w:rFonts w:ascii="仿宋_GB2312" w:hAnsi="宋体" w:eastAsia="仿宋_GB2312" w:cs="仿宋_GB2312"/>
                <w:color w:val="auto"/>
                <w:szCs w:val="24"/>
              </w:rPr>
            </w:pPr>
          </w:p>
        </w:tc>
        <w:tc>
          <w:tcPr>
            <w:tcW w:w="1346" w:type="dxa"/>
            <w:tcBorders>
              <w:tl2br w:val="nil"/>
              <w:tr2bl w:val="nil"/>
            </w:tcBorders>
            <w:vAlign w:val="center"/>
          </w:tcPr>
          <w:p w14:paraId="13BFA844">
            <w:pPr>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职务/职称</w:t>
            </w:r>
          </w:p>
        </w:tc>
        <w:tc>
          <w:tcPr>
            <w:tcW w:w="2602" w:type="dxa"/>
            <w:gridSpan w:val="2"/>
            <w:tcBorders>
              <w:tl2br w:val="nil"/>
              <w:tr2bl w:val="nil"/>
            </w:tcBorders>
            <w:vAlign w:val="center"/>
          </w:tcPr>
          <w:p w14:paraId="3FAA46F4">
            <w:pPr>
              <w:jc w:val="center"/>
              <w:rPr>
                <w:rFonts w:ascii="仿宋_GB2312" w:hAnsi="宋体" w:eastAsia="仿宋_GB2312" w:cs="仿宋_GB2312"/>
                <w:color w:val="auto"/>
                <w:szCs w:val="24"/>
              </w:rPr>
            </w:pPr>
          </w:p>
        </w:tc>
      </w:tr>
      <w:tr w14:paraId="440ED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22" w:type="dxa"/>
            <w:vMerge w:val="continue"/>
            <w:tcBorders>
              <w:tl2br w:val="nil"/>
              <w:tr2bl w:val="nil"/>
            </w:tcBorders>
            <w:textDirection w:val="tbRlV"/>
            <w:vAlign w:val="center"/>
          </w:tcPr>
          <w:p w14:paraId="3FAA5611">
            <w:pPr>
              <w:jc w:val="center"/>
              <w:rPr>
                <w:rFonts w:ascii="仿宋" w:hAnsi="仿宋" w:eastAsia="仿宋" w:cs="仿宋"/>
                <w:b/>
                <w:bCs/>
                <w:color w:val="auto"/>
                <w:sz w:val="28"/>
                <w:szCs w:val="28"/>
              </w:rPr>
            </w:pPr>
          </w:p>
        </w:tc>
        <w:tc>
          <w:tcPr>
            <w:tcW w:w="1656" w:type="dxa"/>
            <w:vMerge w:val="continue"/>
            <w:tcBorders>
              <w:tl2br w:val="nil"/>
              <w:tr2bl w:val="nil"/>
            </w:tcBorders>
            <w:vAlign w:val="center"/>
          </w:tcPr>
          <w:p w14:paraId="162ADD95">
            <w:pPr>
              <w:jc w:val="center"/>
              <w:textAlignment w:val="center"/>
              <w:rPr>
                <w:rFonts w:hint="eastAsia" w:ascii="仿宋" w:hAnsi="仿宋" w:eastAsia="仿宋" w:cs="仿宋"/>
                <w:b/>
                <w:bCs/>
                <w:color w:val="auto"/>
                <w:sz w:val="24"/>
                <w:szCs w:val="24"/>
              </w:rPr>
            </w:pPr>
          </w:p>
        </w:tc>
        <w:tc>
          <w:tcPr>
            <w:tcW w:w="1318" w:type="dxa"/>
            <w:tcBorders>
              <w:tl2br w:val="nil"/>
              <w:tr2bl w:val="nil"/>
            </w:tcBorders>
            <w:vAlign w:val="center"/>
          </w:tcPr>
          <w:p w14:paraId="0340DCC3">
            <w:pPr>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联系电话</w:t>
            </w:r>
          </w:p>
        </w:tc>
        <w:tc>
          <w:tcPr>
            <w:tcW w:w="1872" w:type="dxa"/>
            <w:tcBorders>
              <w:tl2br w:val="nil"/>
              <w:tr2bl w:val="nil"/>
            </w:tcBorders>
            <w:vAlign w:val="center"/>
          </w:tcPr>
          <w:p w14:paraId="57716A64">
            <w:pPr>
              <w:jc w:val="center"/>
              <w:rPr>
                <w:rFonts w:ascii="仿宋_GB2312" w:hAnsi="宋体" w:eastAsia="仿宋_GB2312" w:cs="仿宋_GB2312"/>
                <w:color w:val="auto"/>
                <w:szCs w:val="24"/>
              </w:rPr>
            </w:pPr>
          </w:p>
        </w:tc>
        <w:tc>
          <w:tcPr>
            <w:tcW w:w="1346" w:type="dxa"/>
            <w:tcBorders>
              <w:tl2br w:val="nil"/>
              <w:tr2bl w:val="nil"/>
            </w:tcBorders>
            <w:vAlign w:val="center"/>
          </w:tcPr>
          <w:p w14:paraId="7FBF2CD0">
            <w:pPr>
              <w:jc w:val="center"/>
              <w:textAlignment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电子邮箱</w:t>
            </w:r>
          </w:p>
        </w:tc>
        <w:tc>
          <w:tcPr>
            <w:tcW w:w="2602" w:type="dxa"/>
            <w:gridSpan w:val="2"/>
            <w:tcBorders>
              <w:tl2br w:val="nil"/>
              <w:tr2bl w:val="nil"/>
            </w:tcBorders>
            <w:vAlign w:val="center"/>
          </w:tcPr>
          <w:p w14:paraId="77158E88">
            <w:pPr>
              <w:jc w:val="center"/>
              <w:rPr>
                <w:rFonts w:ascii="仿宋_GB2312" w:hAnsi="宋体" w:eastAsia="仿宋_GB2312" w:cs="仿宋_GB2312"/>
                <w:color w:val="auto"/>
                <w:szCs w:val="24"/>
              </w:rPr>
            </w:pPr>
          </w:p>
        </w:tc>
      </w:tr>
      <w:tr w14:paraId="5BAB6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22" w:type="dxa"/>
            <w:vMerge w:val="continue"/>
            <w:tcBorders>
              <w:tl2br w:val="nil"/>
              <w:tr2bl w:val="nil"/>
            </w:tcBorders>
            <w:textDirection w:val="tbRlV"/>
            <w:vAlign w:val="center"/>
          </w:tcPr>
          <w:p w14:paraId="38F583C9">
            <w:pPr>
              <w:jc w:val="center"/>
              <w:rPr>
                <w:rFonts w:ascii="仿宋" w:hAnsi="仿宋" w:eastAsia="仿宋" w:cs="仿宋"/>
                <w:b/>
                <w:bCs/>
                <w:color w:val="auto"/>
                <w:sz w:val="28"/>
                <w:szCs w:val="28"/>
              </w:rPr>
            </w:pPr>
          </w:p>
        </w:tc>
        <w:tc>
          <w:tcPr>
            <w:tcW w:w="1656" w:type="dxa"/>
            <w:vMerge w:val="restart"/>
            <w:tcBorders>
              <w:tl2br w:val="nil"/>
              <w:tr2bl w:val="nil"/>
            </w:tcBorders>
            <w:vAlign w:val="center"/>
          </w:tcPr>
          <w:p w14:paraId="037DDD43">
            <w:pPr>
              <w:jc w:val="center"/>
              <w:textAlignment w:val="center"/>
              <w:rPr>
                <w:rFonts w:ascii="仿宋" w:hAnsi="仿宋" w:eastAsia="仿宋" w:cs="仿宋"/>
                <w:b/>
                <w:bCs/>
                <w:color w:val="auto"/>
                <w:sz w:val="24"/>
                <w:szCs w:val="24"/>
              </w:rPr>
            </w:pPr>
            <w:r>
              <w:rPr>
                <w:rFonts w:hint="eastAsia" w:ascii="仿宋" w:hAnsi="仿宋" w:eastAsia="仿宋" w:cs="仿宋"/>
                <w:b/>
                <w:bCs/>
                <w:color w:val="auto"/>
                <w:sz w:val="24"/>
                <w:szCs w:val="24"/>
              </w:rPr>
              <w:t>联系人</w:t>
            </w:r>
          </w:p>
        </w:tc>
        <w:tc>
          <w:tcPr>
            <w:tcW w:w="1318" w:type="dxa"/>
            <w:tcBorders>
              <w:tl2br w:val="nil"/>
              <w:tr2bl w:val="nil"/>
            </w:tcBorders>
            <w:vAlign w:val="center"/>
          </w:tcPr>
          <w:p w14:paraId="73F4724F">
            <w:pPr>
              <w:jc w:val="center"/>
              <w:textAlignment w:val="center"/>
              <w:rPr>
                <w:rFonts w:ascii="仿宋" w:hAnsi="仿宋" w:eastAsia="仿宋" w:cs="仿宋"/>
                <w:b/>
                <w:bCs/>
                <w:color w:val="auto"/>
                <w:sz w:val="24"/>
                <w:szCs w:val="24"/>
              </w:rPr>
            </w:pPr>
            <w:r>
              <w:rPr>
                <w:rFonts w:hint="eastAsia" w:ascii="仿宋" w:hAnsi="仿宋" w:eastAsia="仿宋" w:cs="仿宋"/>
                <w:b/>
                <w:bCs/>
                <w:color w:val="auto"/>
                <w:sz w:val="24"/>
                <w:szCs w:val="24"/>
              </w:rPr>
              <w:t>姓</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名</w:t>
            </w:r>
          </w:p>
        </w:tc>
        <w:tc>
          <w:tcPr>
            <w:tcW w:w="1872" w:type="dxa"/>
            <w:tcBorders>
              <w:tl2br w:val="nil"/>
              <w:tr2bl w:val="nil"/>
            </w:tcBorders>
            <w:vAlign w:val="center"/>
          </w:tcPr>
          <w:p w14:paraId="0A5D2539">
            <w:pPr>
              <w:jc w:val="center"/>
              <w:rPr>
                <w:rFonts w:ascii="仿宋_GB2312" w:hAnsi="宋体" w:eastAsia="仿宋_GB2312" w:cs="仿宋_GB2312"/>
                <w:color w:val="auto"/>
                <w:szCs w:val="24"/>
              </w:rPr>
            </w:pPr>
          </w:p>
        </w:tc>
        <w:tc>
          <w:tcPr>
            <w:tcW w:w="1346" w:type="dxa"/>
            <w:tcBorders>
              <w:tl2br w:val="nil"/>
              <w:tr2bl w:val="nil"/>
            </w:tcBorders>
            <w:vAlign w:val="center"/>
          </w:tcPr>
          <w:p w14:paraId="784A94F1">
            <w:pPr>
              <w:jc w:val="center"/>
              <w:textAlignment w:val="center"/>
              <w:rPr>
                <w:rFonts w:ascii="仿宋" w:hAnsi="仿宋" w:eastAsia="仿宋" w:cs="仿宋"/>
                <w:b/>
                <w:bCs/>
                <w:color w:val="auto"/>
                <w:sz w:val="24"/>
                <w:szCs w:val="24"/>
              </w:rPr>
            </w:pPr>
            <w:r>
              <w:rPr>
                <w:rFonts w:hint="eastAsia" w:ascii="仿宋" w:hAnsi="仿宋" w:eastAsia="仿宋" w:cs="仿宋"/>
                <w:b/>
                <w:bCs/>
                <w:color w:val="auto"/>
                <w:sz w:val="24"/>
                <w:szCs w:val="24"/>
              </w:rPr>
              <w:t>职务/职称</w:t>
            </w:r>
          </w:p>
        </w:tc>
        <w:tc>
          <w:tcPr>
            <w:tcW w:w="2602" w:type="dxa"/>
            <w:gridSpan w:val="2"/>
            <w:tcBorders>
              <w:tl2br w:val="nil"/>
              <w:tr2bl w:val="nil"/>
            </w:tcBorders>
            <w:vAlign w:val="center"/>
          </w:tcPr>
          <w:p w14:paraId="69E64FBD">
            <w:pPr>
              <w:jc w:val="center"/>
              <w:rPr>
                <w:rFonts w:ascii="仿宋_GB2312" w:hAnsi="宋体" w:eastAsia="仿宋_GB2312" w:cs="仿宋_GB2312"/>
                <w:color w:val="auto"/>
                <w:szCs w:val="24"/>
              </w:rPr>
            </w:pPr>
          </w:p>
        </w:tc>
      </w:tr>
      <w:tr w14:paraId="45430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22" w:type="dxa"/>
            <w:vMerge w:val="continue"/>
            <w:tcBorders>
              <w:tl2br w:val="nil"/>
              <w:tr2bl w:val="nil"/>
            </w:tcBorders>
            <w:textDirection w:val="tbRlV"/>
            <w:vAlign w:val="center"/>
          </w:tcPr>
          <w:p w14:paraId="7F440866">
            <w:pPr>
              <w:jc w:val="center"/>
              <w:rPr>
                <w:rFonts w:ascii="仿宋" w:hAnsi="仿宋" w:eastAsia="仿宋" w:cs="仿宋"/>
                <w:b/>
                <w:bCs/>
                <w:color w:val="auto"/>
                <w:sz w:val="28"/>
                <w:szCs w:val="28"/>
              </w:rPr>
            </w:pPr>
          </w:p>
        </w:tc>
        <w:tc>
          <w:tcPr>
            <w:tcW w:w="1656" w:type="dxa"/>
            <w:vMerge w:val="continue"/>
            <w:tcBorders>
              <w:tl2br w:val="nil"/>
              <w:tr2bl w:val="nil"/>
            </w:tcBorders>
            <w:vAlign w:val="center"/>
          </w:tcPr>
          <w:p w14:paraId="66715500">
            <w:pPr>
              <w:jc w:val="center"/>
              <w:textAlignment w:val="center"/>
              <w:rPr>
                <w:rFonts w:ascii="仿宋" w:hAnsi="仿宋" w:eastAsia="仿宋" w:cs="仿宋"/>
                <w:b/>
                <w:bCs/>
                <w:color w:val="auto"/>
                <w:sz w:val="24"/>
                <w:szCs w:val="24"/>
              </w:rPr>
            </w:pPr>
          </w:p>
        </w:tc>
        <w:tc>
          <w:tcPr>
            <w:tcW w:w="1318" w:type="dxa"/>
            <w:tcBorders>
              <w:tl2br w:val="nil"/>
              <w:tr2bl w:val="nil"/>
            </w:tcBorders>
            <w:vAlign w:val="center"/>
          </w:tcPr>
          <w:p w14:paraId="693EFE35">
            <w:pPr>
              <w:jc w:val="center"/>
              <w:textAlignment w:val="center"/>
              <w:rPr>
                <w:rFonts w:ascii="仿宋" w:hAnsi="仿宋" w:eastAsia="仿宋" w:cs="仿宋"/>
                <w:b/>
                <w:bCs/>
                <w:color w:val="auto"/>
                <w:sz w:val="24"/>
                <w:szCs w:val="24"/>
              </w:rPr>
            </w:pPr>
            <w:r>
              <w:rPr>
                <w:rFonts w:hint="eastAsia" w:ascii="仿宋" w:hAnsi="仿宋" w:eastAsia="仿宋" w:cs="仿宋"/>
                <w:b/>
                <w:bCs/>
                <w:color w:val="auto"/>
                <w:sz w:val="24"/>
                <w:szCs w:val="24"/>
              </w:rPr>
              <w:t>联系电话</w:t>
            </w:r>
          </w:p>
        </w:tc>
        <w:tc>
          <w:tcPr>
            <w:tcW w:w="1872" w:type="dxa"/>
            <w:tcBorders>
              <w:tl2br w:val="nil"/>
              <w:tr2bl w:val="nil"/>
            </w:tcBorders>
            <w:vAlign w:val="center"/>
          </w:tcPr>
          <w:p w14:paraId="15EAC7D9">
            <w:pPr>
              <w:jc w:val="center"/>
              <w:rPr>
                <w:rFonts w:ascii="仿宋_GB2312" w:hAnsi="宋体" w:eastAsia="仿宋_GB2312" w:cs="仿宋_GB2312"/>
                <w:color w:val="auto"/>
                <w:szCs w:val="24"/>
              </w:rPr>
            </w:pPr>
          </w:p>
        </w:tc>
        <w:tc>
          <w:tcPr>
            <w:tcW w:w="1346" w:type="dxa"/>
            <w:tcBorders>
              <w:tl2br w:val="nil"/>
              <w:tr2bl w:val="nil"/>
            </w:tcBorders>
            <w:vAlign w:val="center"/>
          </w:tcPr>
          <w:p w14:paraId="750E5F0B">
            <w:pPr>
              <w:jc w:val="center"/>
              <w:textAlignment w:val="center"/>
              <w:rPr>
                <w:rFonts w:ascii="仿宋" w:hAnsi="仿宋" w:eastAsia="仿宋" w:cs="仿宋"/>
                <w:b/>
                <w:bCs/>
                <w:color w:val="auto"/>
                <w:sz w:val="24"/>
                <w:szCs w:val="24"/>
              </w:rPr>
            </w:pPr>
            <w:r>
              <w:rPr>
                <w:rFonts w:hint="eastAsia" w:ascii="仿宋" w:hAnsi="仿宋" w:eastAsia="仿宋" w:cs="仿宋"/>
                <w:b/>
                <w:bCs/>
                <w:color w:val="auto"/>
                <w:sz w:val="24"/>
                <w:szCs w:val="24"/>
              </w:rPr>
              <w:t>电子邮箱</w:t>
            </w:r>
          </w:p>
        </w:tc>
        <w:tc>
          <w:tcPr>
            <w:tcW w:w="2602" w:type="dxa"/>
            <w:gridSpan w:val="2"/>
            <w:tcBorders>
              <w:tl2br w:val="nil"/>
              <w:tr2bl w:val="nil"/>
            </w:tcBorders>
            <w:vAlign w:val="center"/>
          </w:tcPr>
          <w:p w14:paraId="44BBB95B">
            <w:pPr>
              <w:jc w:val="center"/>
              <w:rPr>
                <w:rFonts w:ascii="仿宋_GB2312" w:hAnsi="宋体" w:eastAsia="仿宋_GB2312" w:cs="仿宋_GB2312"/>
                <w:color w:val="auto"/>
                <w:szCs w:val="24"/>
              </w:rPr>
            </w:pPr>
          </w:p>
        </w:tc>
      </w:tr>
      <w:tr w14:paraId="042FA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8" w:hRule="atLeast"/>
          <w:jc w:val="center"/>
        </w:trPr>
        <w:tc>
          <w:tcPr>
            <w:tcW w:w="722" w:type="dxa"/>
            <w:vMerge w:val="restart"/>
            <w:tcBorders>
              <w:tl2br w:val="nil"/>
              <w:tr2bl w:val="nil"/>
            </w:tcBorders>
            <w:textDirection w:val="tbRlV"/>
            <w:vAlign w:val="center"/>
          </w:tcPr>
          <w:p w14:paraId="420CE501">
            <w:pPr>
              <w:jc w:val="center"/>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建设基础</w:t>
            </w:r>
          </w:p>
        </w:tc>
        <w:tc>
          <w:tcPr>
            <w:tcW w:w="1656" w:type="dxa"/>
            <w:tcBorders>
              <w:tl2br w:val="nil"/>
              <w:tr2bl w:val="nil"/>
            </w:tcBorders>
            <w:vAlign w:val="center"/>
          </w:tcPr>
          <w:p w14:paraId="1C13A152">
            <w:pPr>
              <w:jc w:val="center"/>
              <w:textAlignment w:val="center"/>
              <w:rPr>
                <w:rFonts w:ascii="仿宋" w:hAnsi="仿宋" w:eastAsia="仿宋" w:cs="仿宋"/>
                <w:b/>
                <w:bCs/>
                <w:color w:val="auto"/>
                <w:sz w:val="24"/>
                <w:szCs w:val="24"/>
              </w:rPr>
            </w:pPr>
            <w:r>
              <w:rPr>
                <w:rFonts w:hint="eastAsia" w:ascii="仿宋" w:hAnsi="仿宋" w:eastAsia="仿宋" w:cs="仿宋"/>
                <w:b/>
                <w:bCs/>
                <w:color w:val="auto"/>
                <w:sz w:val="24"/>
                <w:szCs w:val="24"/>
              </w:rPr>
              <w:t>单位简介</w:t>
            </w:r>
          </w:p>
        </w:tc>
        <w:tc>
          <w:tcPr>
            <w:tcW w:w="7138" w:type="dxa"/>
            <w:gridSpan w:val="5"/>
            <w:tcBorders>
              <w:tl2br w:val="nil"/>
              <w:tr2bl w:val="nil"/>
            </w:tcBorders>
            <w:noWrap/>
          </w:tcPr>
          <w:p w14:paraId="165F4BB7">
            <w:pPr>
              <w:rPr>
                <w:rFonts w:ascii="宋体" w:hAnsi="宋体" w:eastAsia="宋体"/>
                <w:color w:val="auto"/>
                <w:sz w:val="22"/>
                <w:szCs w:val="24"/>
              </w:rPr>
            </w:pPr>
            <w:r>
              <w:rPr>
                <w:rFonts w:hint="eastAsia" w:ascii="仿宋_GB2312" w:hAnsi="宋体" w:eastAsia="仿宋_GB2312" w:cs="仿宋_GB2312"/>
                <w:color w:val="auto"/>
                <w:szCs w:val="24"/>
              </w:rPr>
              <w:t>（填写办学历史、优势专业、</w:t>
            </w:r>
            <w:r>
              <w:rPr>
                <w:rFonts w:hint="eastAsia" w:ascii="仿宋_GB2312" w:hAnsi="宋体" w:eastAsia="仿宋_GB2312" w:cs="仿宋_GB2312"/>
                <w:color w:val="auto"/>
                <w:szCs w:val="24"/>
                <w:lang w:val="en-US" w:eastAsia="zh-CN"/>
              </w:rPr>
              <w:t>成</w:t>
            </w:r>
            <w:r>
              <w:rPr>
                <w:rFonts w:hint="eastAsia" w:ascii="仿宋_GB2312" w:hAnsi="宋体" w:eastAsia="仿宋_GB2312" w:cs="仿宋_GB2312"/>
                <w:color w:val="auto"/>
                <w:szCs w:val="24"/>
              </w:rPr>
              <w:t>绩、校企合作主要成果等内容，</w:t>
            </w:r>
            <w:r>
              <w:rPr>
                <w:rFonts w:hint="eastAsia" w:ascii="仿宋_GB2312" w:hAnsi="宋体" w:eastAsia="仿宋_GB2312" w:cs="仿宋_GB2312"/>
                <w:color w:val="auto"/>
                <w:szCs w:val="24"/>
                <w:lang w:val="en-US" w:eastAsia="zh-CN"/>
              </w:rPr>
              <w:t>6</w:t>
            </w:r>
            <w:r>
              <w:rPr>
                <w:rFonts w:ascii="仿宋_GB2312" w:hAnsi="宋体" w:eastAsia="仿宋_GB2312" w:cs="仿宋_GB2312"/>
                <w:color w:val="auto"/>
                <w:szCs w:val="24"/>
              </w:rPr>
              <w:t>00</w:t>
            </w:r>
            <w:r>
              <w:rPr>
                <w:rFonts w:hint="eastAsia" w:ascii="仿宋_GB2312" w:hAnsi="宋体" w:eastAsia="仿宋_GB2312" w:cs="仿宋_GB2312"/>
                <w:color w:val="auto"/>
                <w:szCs w:val="24"/>
              </w:rPr>
              <w:t>字）</w:t>
            </w:r>
          </w:p>
        </w:tc>
      </w:tr>
      <w:tr w14:paraId="21C34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8" w:hRule="atLeast"/>
          <w:jc w:val="center"/>
        </w:trPr>
        <w:tc>
          <w:tcPr>
            <w:tcW w:w="722" w:type="dxa"/>
            <w:vMerge w:val="continue"/>
            <w:tcBorders>
              <w:tl2br w:val="nil"/>
              <w:tr2bl w:val="nil"/>
            </w:tcBorders>
            <w:textDirection w:val="tbRlV"/>
            <w:vAlign w:val="center"/>
          </w:tcPr>
          <w:p w14:paraId="2053ABC0">
            <w:pPr>
              <w:jc w:val="center"/>
              <w:rPr>
                <w:rFonts w:ascii="仿宋" w:hAnsi="仿宋" w:eastAsia="仿宋" w:cs="仿宋"/>
                <w:b/>
                <w:bCs/>
                <w:color w:val="auto"/>
                <w:sz w:val="28"/>
                <w:szCs w:val="28"/>
              </w:rPr>
            </w:pPr>
          </w:p>
        </w:tc>
        <w:tc>
          <w:tcPr>
            <w:tcW w:w="1656" w:type="dxa"/>
            <w:tcBorders>
              <w:tl2br w:val="nil"/>
              <w:tr2bl w:val="nil"/>
            </w:tcBorders>
            <w:vAlign w:val="center"/>
          </w:tcPr>
          <w:p w14:paraId="10064981">
            <w:pPr>
              <w:jc w:val="center"/>
              <w:textAlignment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场地设备</w:t>
            </w:r>
          </w:p>
          <w:p w14:paraId="5C8F8FF6">
            <w:pPr>
              <w:jc w:val="center"/>
              <w:textAlignment w:val="cente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基础</w:t>
            </w:r>
          </w:p>
        </w:tc>
        <w:tc>
          <w:tcPr>
            <w:tcW w:w="7138" w:type="dxa"/>
            <w:gridSpan w:val="5"/>
            <w:tcBorders>
              <w:tl2br w:val="nil"/>
              <w:tr2bl w:val="nil"/>
            </w:tcBorders>
            <w:noWrap/>
          </w:tcPr>
          <w:p w14:paraId="65CE125B">
            <w:pPr>
              <w:rPr>
                <w:rFonts w:ascii="仿宋_GB2312" w:hAnsi="宋体" w:eastAsia="仿宋_GB2312" w:cs="仿宋_GB2312"/>
                <w:color w:val="auto"/>
                <w:szCs w:val="24"/>
              </w:rPr>
            </w:pPr>
            <w:r>
              <w:rPr>
                <w:rFonts w:hint="eastAsia" w:ascii="仿宋_GB2312" w:hAnsi="宋体" w:eastAsia="仿宋_GB2312" w:cs="仿宋_GB2312"/>
                <w:color w:val="auto"/>
                <w:szCs w:val="24"/>
              </w:rPr>
              <w:t>（请简要介绍为本项目提供的教学场地、实训场地、设备和配套环境</w:t>
            </w:r>
            <w:r>
              <w:rPr>
                <w:rFonts w:hint="eastAsia" w:ascii="仿宋_GB2312" w:hAnsi="宋体" w:eastAsia="仿宋_GB2312" w:cs="仿宋_GB2312"/>
                <w:color w:val="auto"/>
                <w:szCs w:val="24"/>
                <w:lang w:eastAsia="zh-CN"/>
              </w:rPr>
              <w:t>，</w:t>
            </w:r>
            <w:r>
              <w:rPr>
                <w:rFonts w:hint="eastAsia" w:ascii="仿宋_GB2312" w:hAnsi="宋体" w:eastAsia="仿宋_GB2312" w:cs="仿宋_GB2312"/>
                <w:color w:val="auto"/>
                <w:szCs w:val="24"/>
              </w:rPr>
              <w:t>600字内）</w:t>
            </w:r>
          </w:p>
          <w:p w14:paraId="55243119">
            <w:pPr>
              <w:rPr>
                <w:rFonts w:ascii="仿宋_GB2312" w:hAnsi="宋体" w:eastAsia="仿宋_GB2312" w:cs="仿宋_GB2312"/>
                <w:color w:val="auto"/>
                <w:szCs w:val="24"/>
              </w:rPr>
            </w:pPr>
          </w:p>
          <w:p w14:paraId="0EA07177">
            <w:pPr>
              <w:rPr>
                <w:rFonts w:ascii="仿宋_GB2312" w:hAnsi="宋体" w:eastAsia="仿宋_GB2312" w:cs="仿宋_GB2312"/>
                <w:color w:val="auto"/>
                <w:szCs w:val="24"/>
              </w:rPr>
            </w:pPr>
          </w:p>
        </w:tc>
      </w:tr>
      <w:tr w14:paraId="758D0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8" w:hRule="atLeast"/>
          <w:jc w:val="center"/>
        </w:trPr>
        <w:tc>
          <w:tcPr>
            <w:tcW w:w="722" w:type="dxa"/>
            <w:vMerge w:val="continue"/>
            <w:tcBorders>
              <w:tl2br w:val="nil"/>
              <w:tr2bl w:val="nil"/>
            </w:tcBorders>
            <w:textDirection w:val="tbRlV"/>
            <w:vAlign w:val="center"/>
          </w:tcPr>
          <w:p w14:paraId="7A1D7E6E">
            <w:pPr>
              <w:jc w:val="center"/>
              <w:rPr>
                <w:rFonts w:ascii="仿宋" w:hAnsi="仿宋" w:eastAsia="仿宋" w:cs="仿宋"/>
                <w:b/>
                <w:bCs/>
                <w:color w:val="auto"/>
                <w:sz w:val="28"/>
                <w:szCs w:val="28"/>
              </w:rPr>
            </w:pPr>
          </w:p>
        </w:tc>
        <w:tc>
          <w:tcPr>
            <w:tcW w:w="1656" w:type="dxa"/>
            <w:tcBorders>
              <w:tl2br w:val="nil"/>
              <w:tr2bl w:val="nil"/>
            </w:tcBorders>
            <w:vAlign w:val="center"/>
          </w:tcPr>
          <w:p w14:paraId="19E152CC">
            <w:pPr>
              <w:jc w:val="center"/>
              <w:textAlignment w:val="cente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师资团队和生源保障</w:t>
            </w:r>
          </w:p>
          <w:p w14:paraId="063B435E">
            <w:pPr>
              <w:jc w:val="center"/>
              <w:textAlignment w:val="center"/>
              <w:rPr>
                <w:rFonts w:hint="default" w:ascii="仿宋" w:hAnsi="仿宋" w:eastAsia="仿宋" w:cs="仿宋"/>
                <w:b/>
                <w:bCs/>
                <w:color w:val="auto"/>
                <w:sz w:val="24"/>
                <w:szCs w:val="24"/>
                <w:lang w:val="en-US" w:eastAsia="zh-CN"/>
              </w:rPr>
            </w:pPr>
          </w:p>
        </w:tc>
        <w:tc>
          <w:tcPr>
            <w:tcW w:w="7138" w:type="dxa"/>
            <w:gridSpan w:val="5"/>
            <w:tcBorders>
              <w:tl2br w:val="nil"/>
              <w:tr2bl w:val="nil"/>
            </w:tcBorders>
            <w:noWrap/>
          </w:tcPr>
          <w:p w14:paraId="666EAC31">
            <w:pPr>
              <w:rPr>
                <w:rFonts w:hint="default" w:ascii="仿宋_GB2312" w:hAnsi="宋体" w:eastAsia="仿宋_GB2312" w:cs="仿宋_GB2312"/>
                <w:color w:val="auto"/>
                <w:szCs w:val="24"/>
                <w:lang w:val="en-US" w:eastAsia="zh-CN"/>
              </w:rPr>
            </w:pPr>
            <w:r>
              <w:rPr>
                <w:rFonts w:hint="eastAsia" w:ascii="仿宋_GB2312" w:hAnsi="宋体" w:eastAsia="仿宋_GB2312" w:cs="仿宋_GB2312"/>
                <w:color w:val="auto"/>
                <w:szCs w:val="24"/>
                <w:lang w:eastAsia="zh-CN"/>
              </w:rPr>
              <w:t>（</w:t>
            </w:r>
            <w:r>
              <w:rPr>
                <w:rFonts w:hint="eastAsia" w:ascii="仿宋_GB2312" w:hAnsi="宋体" w:eastAsia="仿宋_GB2312" w:cs="仿宋_GB2312"/>
                <w:color w:val="auto"/>
                <w:szCs w:val="24"/>
                <w:lang w:val="en-US" w:eastAsia="zh-CN"/>
              </w:rPr>
              <w:t>请简要介绍为本项目提供的专任教师和生源情况）</w:t>
            </w:r>
          </w:p>
          <w:p w14:paraId="39CA08E4">
            <w:pPr>
              <w:rPr>
                <w:rFonts w:ascii="仿宋_GB2312" w:hAnsi="宋体" w:eastAsia="仿宋_GB2312" w:cs="仿宋_GB2312"/>
                <w:color w:val="auto"/>
                <w:szCs w:val="24"/>
              </w:rPr>
            </w:pPr>
          </w:p>
        </w:tc>
      </w:tr>
      <w:tr w14:paraId="2B64A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3" w:hRule="atLeast"/>
          <w:jc w:val="center"/>
        </w:trPr>
        <w:tc>
          <w:tcPr>
            <w:tcW w:w="722" w:type="dxa"/>
            <w:vMerge w:val="continue"/>
            <w:tcBorders>
              <w:tl2br w:val="nil"/>
              <w:tr2bl w:val="nil"/>
            </w:tcBorders>
            <w:textDirection w:val="tbRlV"/>
            <w:vAlign w:val="center"/>
          </w:tcPr>
          <w:p w14:paraId="3FA7D99E">
            <w:pPr>
              <w:jc w:val="center"/>
              <w:rPr>
                <w:rFonts w:ascii="仿宋" w:hAnsi="仿宋" w:eastAsia="仿宋" w:cs="仿宋"/>
                <w:b/>
                <w:bCs/>
                <w:color w:val="auto"/>
                <w:sz w:val="28"/>
                <w:szCs w:val="28"/>
              </w:rPr>
            </w:pPr>
          </w:p>
        </w:tc>
        <w:tc>
          <w:tcPr>
            <w:tcW w:w="1656" w:type="dxa"/>
            <w:tcBorders>
              <w:tl2br w:val="nil"/>
              <w:tr2bl w:val="nil"/>
            </w:tcBorders>
            <w:vAlign w:val="center"/>
          </w:tcPr>
          <w:p w14:paraId="5A6AE62F">
            <w:pPr>
              <w:jc w:val="center"/>
              <w:textAlignment w:val="center"/>
              <w:rPr>
                <w:rFonts w:ascii="仿宋" w:hAnsi="仿宋" w:eastAsia="仿宋" w:cs="仿宋"/>
                <w:b/>
                <w:bCs/>
                <w:color w:val="auto"/>
                <w:sz w:val="24"/>
                <w:szCs w:val="24"/>
              </w:rPr>
            </w:pPr>
            <w:r>
              <w:rPr>
                <w:rFonts w:hint="eastAsia" w:ascii="仿宋" w:hAnsi="仿宋" w:eastAsia="仿宋" w:cs="仿宋"/>
                <w:b/>
                <w:bCs/>
                <w:color w:val="auto"/>
                <w:sz w:val="24"/>
                <w:szCs w:val="24"/>
              </w:rPr>
              <w:t>保障与支持</w:t>
            </w:r>
          </w:p>
        </w:tc>
        <w:tc>
          <w:tcPr>
            <w:tcW w:w="7138" w:type="dxa"/>
            <w:gridSpan w:val="5"/>
            <w:tcBorders>
              <w:tl2br w:val="nil"/>
              <w:tr2bl w:val="nil"/>
            </w:tcBorders>
            <w:noWrap/>
          </w:tcPr>
          <w:p w14:paraId="443D6A12">
            <w:pPr>
              <w:rPr>
                <w:rFonts w:ascii="仿宋_GB2312" w:hAnsi="宋体" w:eastAsia="仿宋_GB2312" w:cs="仿宋_GB2312"/>
                <w:color w:val="auto"/>
                <w:szCs w:val="24"/>
              </w:rPr>
            </w:pPr>
            <w:r>
              <w:rPr>
                <w:rFonts w:hint="eastAsia" w:ascii="仿宋_GB2312" w:hAnsi="宋体" w:eastAsia="仿宋_GB2312" w:cs="仿宋_GB2312"/>
                <w:color w:val="auto"/>
                <w:szCs w:val="24"/>
              </w:rPr>
              <w:t>（能提供的技术保障、设施保障、组织保障、</w:t>
            </w:r>
            <w:r>
              <w:rPr>
                <w:rFonts w:hint="eastAsia" w:ascii="仿宋_GB2312" w:hAnsi="仿宋_GB2312" w:eastAsia="仿宋_GB2312" w:cs="仿宋_GB2312"/>
                <w:b w:val="0"/>
                <w:bCs w:val="0"/>
                <w:color w:val="auto"/>
                <w:sz w:val="21"/>
                <w:szCs w:val="21"/>
                <w:lang w:val="en-US" w:eastAsia="zh-CN"/>
              </w:rPr>
              <w:t>专项资金等</w:t>
            </w:r>
            <w:r>
              <w:rPr>
                <w:rFonts w:hint="eastAsia" w:ascii="仿宋_GB2312" w:hAnsi="宋体" w:eastAsia="仿宋_GB2312" w:cs="仿宋_GB2312"/>
                <w:color w:val="auto"/>
                <w:szCs w:val="24"/>
              </w:rPr>
              <w:t>，</w:t>
            </w:r>
            <w:r>
              <w:rPr>
                <w:rFonts w:hint="eastAsia" w:ascii="仿宋_GB2312" w:hAnsi="宋体" w:eastAsia="仿宋_GB2312" w:cs="仿宋_GB2312"/>
                <w:color w:val="auto"/>
                <w:szCs w:val="24"/>
                <w:lang w:val="en-US" w:eastAsia="zh-CN"/>
              </w:rPr>
              <w:t>6</w:t>
            </w:r>
            <w:r>
              <w:rPr>
                <w:rFonts w:ascii="仿宋_GB2312" w:hAnsi="宋体" w:eastAsia="仿宋_GB2312" w:cs="仿宋_GB2312"/>
                <w:color w:val="auto"/>
                <w:szCs w:val="24"/>
              </w:rPr>
              <w:t>00</w:t>
            </w:r>
            <w:r>
              <w:rPr>
                <w:rFonts w:hint="eastAsia" w:ascii="仿宋_GB2312" w:hAnsi="宋体" w:eastAsia="仿宋_GB2312" w:cs="仿宋_GB2312"/>
                <w:color w:val="auto"/>
                <w:szCs w:val="24"/>
              </w:rPr>
              <w:t>字）</w:t>
            </w:r>
          </w:p>
        </w:tc>
      </w:tr>
      <w:tr w14:paraId="391DF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4" w:hRule="atLeast"/>
          <w:jc w:val="center"/>
        </w:trPr>
        <w:tc>
          <w:tcPr>
            <w:tcW w:w="722" w:type="dxa"/>
            <w:tcBorders>
              <w:tl2br w:val="nil"/>
              <w:tr2bl w:val="nil"/>
            </w:tcBorders>
            <w:noWrap/>
            <w:textDirection w:val="tbRlV"/>
            <w:vAlign w:val="center"/>
          </w:tcPr>
          <w:p w14:paraId="723FA989">
            <w:pPr>
              <w:jc w:val="center"/>
              <w:rPr>
                <w:rFonts w:ascii="宋体" w:hAnsi="宋体" w:eastAsia="仿宋"/>
                <w:b/>
                <w:bCs/>
                <w:color w:val="auto"/>
                <w:sz w:val="22"/>
                <w:szCs w:val="24"/>
              </w:rPr>
            </w:pPr>
            <w:r>
              <w:rPr>
                <w:rFonts w:hint="eastAsia" w:ascii="仿宋" w:hAnsi="仿宋" w:eastAsia="仿宋" w:cs="仿宋"/>
                <w:b/>
                <w:bCs/>
                <w:color w:val="auto"/>
                <w:sz w:val="28"/>
                <w:szCs w:val="28"/>
              </w:rPr>
              <w:t>申报单位意见</w:t>
            </w:r>
          </w:p>
        </w:tc>
        <w:tc>
          <w:tcPr>
            <w:tcW w:w="8794" w:type="dxa"/>
            <w:gridSpan w:val="6"/>
            <w:tcBorders>
              <w:tl2br w:val="nil"/>
              <w:tr2bl w:val="nil"/>
            </w:tcBorders>
            <w:vAlign w:val="center"/>
          </w:tcPr>
          <w:p w14:paraId="255BC683">
            <w:pPr>
              <w:spacing w:line="560" w:lineRule="exact"/>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本申报材料真实有效，本单位将为</w:t>
            </w:r>
            <w:r>
              <w:rPr>
                <w:rFonts w:hint="eastAsia" w:ascii="仿宋_GB2312" w:hAnsi="仿宋_GB2312" w:eastAsia="仿宋_GB2312" w:cs="仿宋_GB2312"/>
                <w:color w:val="auto"/>
                <w:sz w:val="24"/>
                <w:szCs w:val="24"/>
                <w:lang w:val="en-US" w:eastAsia="zh-CN"/>
              </w:rPr>
              <w:t>中心</w:t>
            </w:r>
            <w:r>
              <w:rPr>
                <w:rFonts w:hint="eastAsia" w:ascii="仿宋_GB2312" w:hAnsi="仿宋_GB2312" w:eastAsia="仿宋_GB2312" w:cs="仿宋_GB2312"/>
                <w:color w:val="auto"/>
                <w:sz w:val="24"/>
                <w:szCs w:val="24"/>
              </w:rPr>
              <w:t>建设提供设施、组织、经费等保障。</w:t>
            </w:r>
          </w:p>
          <w:p w14:paraId="51584C46">
            <w:pPr>
              <w:spacing w:line="560" w:lineRule="exact"/>
              <w:jc w:val="left"/>
              <w:textAlignment w:val="top"/>
              <w:rPr>
                <w:rFonts w:ascii="仿宋_GB2312" w:hAnsi="宋体" w:eastAsia="仿宋_GB2312" w:cs="仿宋_GB2312"/>
                <w:color w:val="auto"/>
                <w:sz w:val="24"/>
                <w:szCs w:val="24"/>
              </w:rPr>
            </w:pPr>
            <w:r>
              <w:rPr>
                <w:rFonts w:hint="eastAsia" w:ascii="仿宋_GB2312" w:hAnsi="宋体" w:eastAsia="仿宋_GB2312" w:cs="仿宋_GB2312"/>
                <w:color w:val="auto"/>
                <w:sz w:val="24"/>
                <w:szCs w:val="24"/>
              </w:rPr>
              <w:t xml:space="preserve">    同意申报。</w:t>
            </w:r>
          </w:p>
          <w:p w14:paraId="52FFB9E3">
            <w:pPr>
              <w:spacing w:line="560" w:lineRule="exact"/>
              <w:jc w:val="left"/>
              <w:textAlignment w:val="top"/>
              <w:rPr>
                <w:rFonts w:ascii="仿宋_GB2312" w:hAnsi="宋体" w:eastAsia="仿宋_GB2312" w:cs="仿宋_GB2312"/>
                <w:color w:val="auto"/>
                <w:sz w:val="24"/>
                <w:szCs w:val="24"/>
              </w:rPr>
            </w:pPr>
            <w:r>
              <w:rPr>
                <w:rFonts w:hint="eastAsia" w:ascii="仿宋_GB2312" w:hAnsi="宋体" w:eastAsia="仿宋_GB2312" w:cs="仿宋_GB2312"/>
                <w:color w:val="auto"/>
                <w:sz w:val="24"/>
                <w:szCs w:val="24"/>
              </w:rPr>
              <w:t xml:space="preserve">                           </w:t>
            </w:r>
            <w:r>
              <w:rPr>
                <w:rFonts w:ascii="仿宋_GB2312" w:hAnsi="宋体" w:eastAsia="仿宋_GB2312" w:cs="仿宋_GB2312"/>
                <w:color w:val="auto"/>
                <w:sz w:val="24"/>
                <w:szCs w:val="24"/>
              </w:rPr>
              <w:t xml:space="preserve">  </w:t>
            </w:r>
            <w:r>
              <w:rPr>
                <w:rFonts w:hint="eastAsia" w:ascii="仿宋_GB2312" w:hAnsi="宋体" w:eastAsia="仿宋_GB2312" w:cs="仿宋_GB2312"/>
                <w:color w:val="auto"/>
                <w:sz w:val="24"/>
                <w:szCs w:val="24"/>
              </w:rPr>
              <w:t>申报单位（盖章）</w:t>
            </w:r>
          </w:p>
          <w:p w14:paraId="4E5ECCD7">
            <w:pPr>
              <w:spacing w:line="560" w:lineRule="exact"/>
              <w:jc w:val="left"/>
              <w:textAlignment w:val="top"/>
              <w:rPr>
                <w:rFonts w:ascii="仿宋_GB2312" w:hAnsi="宋体" w:eastAsia="仿宋_GB2312" w:cs="仿宋_GB2312"/>
                <w:color w:val="auto"/>
                <w:szCs w:val="24"/>
              </w:rPr>
            </w:pPr>
            <w:r>
              <w:rPr>
                <w:rFonts w:hint="eastAsia" w:ascii="仿宋_GB2312" w:hAnsi="宋体" w:eastAsia="仿宋_GB2312" w:cs="仿宋_GB2312"/>
                <w:color w:val="auto"/>
                <w:sz w:val="24"/>
                <w:szCs w:val="24"/>
              </w:rPr>
              <w:t xml:space="preserve">                                 年   月   日</w:t>
            </w:r>
          </w:p>
        </w:tc>
      </w:tr>
    </w:tbl>
    <w:p w14:paraId="124732A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D72BD2C-1316-43BA-9E18-49845790A1A0}"/>
  </w:font>
  <w:font w:name="黑体">
    <w:panose1 w:val="02010609060101010101"/>
    <w:charset w:val="86"/>
    <w:family w:val="auto"/>
    <w:pitch w:val="default"/>
    <w:sig w:usb0="800002BF" w:usb1="38CF7CFA" w:usb2="00000016" w:usb3="00000000" w:csb0="00040001" w:csb1="00000000"/>
    <w:embedRegular r:id="rId2" w:fontKey="{4A878F55-CED0-45B4-B0CF-2A1D8CAED2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3" w:fontKey="{A1E45BC5-B4BE-4AA6-B66E-649DEFA97415}"/>
  </w:font>
  <w:font w:name="方正小标宋_GBK">
    <w:panose1 w:val="02000000000000000000"/>
    <w:charset w:val="86"/>
    <w:family w:val="auto"/>
    <w:pitch w:val="default"/>
    <w:sig w:usb0="A00002BF" w:usb1="38CF7CFA" w:usb2="00082016" w:usb3="00000000" w:csb0="00040001" w:csb1="00000000"/>
    <w:embedRegular r:id="rId4" w:fontKey="{9B977803-062E-48F5-99F6-9D99CD6BA96F}"/>
  </w:font>
  <w:font w:name="方正楷体_GB2312">
    <w:panose1 w:val="02000000000000000000"/>
    <w:charset w:val="86"/>
    <w:family w:val="auto"/>
    <w:pitch w:val="default"/>
    <w:sig w:usb0="A00002BF" w:usb1="184F6CFA" w:usb2="00000012" w:usb3="00000000" w:csb0="00040001" w:csb1="00000000"/>
    <w:embedRegular r:id="rId5" w:fontKey="{C99C63AD-9921-40FD-8B73-731AD6E0D147}"/>
  </w:font>
  <w:font w:name="仿宋_GB2312">
    <w:panose1 w:val="02010609030101010101"/>
    <w:charset w:val="86"/>
    <w:family w:val="auto"/>
    <w:pitch w:val="default"/>
    <w:sig w:usb0="00000001" w:usb1="080E0000" w:usb2="00000000" w:usb3="00000000" w:csb0="00040000" w:csb1="00000000"/>
    <w:embedRegular r:id="rId6" w:fontKey="{96D48D64-8444-4890-B7DB-F4DE8B7F78FF}"/>
  </w:font>
  <w:font w:name="Segoe UI">
    <w:panose1 w:val="020B0502040204020203"/>
    <w:charset w:val="00"/>
    <w:family w:val="auto"/>
    <w:pitch w:val="default"/>
    <w:sig w:usb0="E4002EFF" w:usb1="C000E47F" w:usb2="00000009" w:usb3="00000000" w:csb0="200001FF" w:csb1="00000000"/>
    <w:embedRegular r:id="rId7" w:fontKey="{21EB6FC5-2B8B-462A-BBCB-328CED5A001B}"/>
  </w:font>
  <w:font w:name="方正公文小标宋">
    <w:panose1 w:val="02000500000000000000"/>
    <w:charset w:val="86"/>
    <w:family w:val="auto"/>
    <w:pitch w:val="default"/>
    <w:sig w:usb0="A00002BF" w:usb1="38CF7CFA" w:usb2="00000016" w:usb3="00000000" w:csb0="00040001" w:csb1="00000000"/>
    <w:embedRegular r:id="rId8" w:fontKey="{AE5F9304-165A-4A9E-B26A-851658DFC0F0}"/>
  </w:font>
  <w:font w:name="仿宋">
    <w:panose1 w:val="02010609060101010101"/>
    <w:charset w:val="86"/>
    <w:family w:val="modern"/>
    <w:pitch w:val="default"/>
    <w:sig w:usb0="800002BF" w:usb1="38CF7CFA" w:usb2="00000016" w:usb3="00000000" w:csb0="00040001" w:csb1="00000000"/>
    <w:embedRegular r:id="rId9" w:fontKey="{B3B85B7F-0259-43B4-881E-ED27B3F8B7B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330"/>
    <w:rsid w:val="00875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2025-12-02T06:18:00Z</dcterms:created>
  <dc:creator>李晓玫</dc:creator>
  <cp:lastModifiedBy>李晓玫</cp:lastModifiedBy>
  <dcterms:modified xsi:type="dcterms:W3CDTF">2025-12-02T06:19:07Z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B736525D3B7448F787827377FE76D0D6_11</vt:lpwstr>
  </property>
  <property fmtid="{D5CDD505-2E9C-101B-9397-08002B2CF9AE}" pid="4" name="KSOTemplateDocerSaveRecord">
    <vt:lpwstr>eyJoZGlkIjoiMWNlMGUwNjE1ODJhZTY0ZDY3ODRiMmIxYmY4ZmRmNjMiLCJ1c2VySWQiOiIyMDQ3NzgwNjAifQ==</vt:lpwstr>
  </property>
</Properties>
</file>