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s="仿宋_GB2312"/>
          <w:b/>
          <w:color w:val="auto"/>
          <w:sz w:val="36"/>
          <w:szCs w:val="36"/>
        </w:rPr>
      </w:pPr>
      <w:r>
        <w:rPr>
          <w:rFonts w:hint="eastAsia" w:ascii="黑体" w:hAnsi="黑体" w:eastAsia="黑体" w:cs="仿宋_GB2312"/>
          <w:b/>
          <w:color w:val="auto"/>
          <w:sz w:val="36"/>
          <w:szCs w:val="36"/>
        </w:rPr>
        <w:t>20</w:t>
      </w:r>
      <w:r>
        <w:rPr>
          <w:rFonts w:hint="eastAsia" w:ascii="黑体" w:hAnsi="黑体" w:eastAsia="黑体" w:cs="仿宋_GB2312"/>
          <w:b/>
          <w:color w:val="auto"/>
          <w:sz w:val="36"/>
          <w:szCs w:val="36"/>
          <w:lang w:val="en-US" w:eastAsia="zh-CN"/>
        </w:rPr>
        <w:t>23</w:t>
      </w:r>
      <w:r>
        <w:rPr>
          <w:rFonts w:hint="eastAsia" w:ascii="黑体" w:hAnsi="黑体" w:eastAsia="黑体" w:cs="仿宋_GB2312"/>
          <w:b/>
          <w:color w:val="auto"/>
          <w:sz w:val="36"/>
          <w:szCs w:val="36"/>
        </w:rPr>
        <w:t>年度机械行业职业教育技能大赛</w:t>
      </w:r>
    </w:p>
    <w:p>
      <w:pPr>
        <w:snapToGrid w:val="0"/>
        <w:spacing w:line="540" w:lineRule="exact"/>
        <w:jc w:val="center"/>
        <w:rPr>
          <w:rFonts w:hint="eastAsia" w:ascii="黑体" w:hAnsi="黑体" w:eastAsia="黑体" w:cs="仿宋_GB2312"/>
          <w:b/>
          <w:color w:val="auto"/>
          <w:sz w:val="36"/>
          <w:szCs w:val="36"/>
        </w:rPr>
      </w:pPr>
      <w:r>
        <w:rPr>
          <w:rFonts w:hint="eastAsia" w:ascii="黑体" w:hAnsi="黑体" w:eastAsia="黑体"/>
          <w:b/>
          <w:bCs/>
          <w:color w:val="auto"/>
          <w:sz w:val="36"/>
        </w:rPr>
        <w:t>“精雕杯”</w:t>
      </w:r>
      <w:r>
        <w:rPr>
          <w:rFonts w:hint="eastAsia" w:ascii="黑体" w:hAnsi="黑体" w:eastAsia="黑体"/>
          <w:b/>
          <w:bCs/>
          <w:color w:val="auto"/>
          <w:sz w:val="36"/>
          <w:lang w:val="en-US" w:eastAsia="zh-CN"/>
        </w:rPr>
        <w:t>快速制造与五轴精密加工技术</w:t>
      </w:r>
      <w:r>
        <w:rPr>
          <w:rFonts w:hint="eastAsia" w:ascii="黑体" w:hAnsi="黑体" w:eastAsia="黑体" w:cs="仿宋_GB2312"/>
          <w:b/>
          <w:color w:val="auto"/>
          <w:sz w:val="36"/>
          <w:szCs w:val="36"/>
        </w:rPr>
        <w:t>赛项</w:t>
      </w:r>
    </w:p>
    <w:p>
      <w:pPr>
        <w:snapToGrid w:val="0"/>
        <w:spacing w:line="540" w:lineRule="exact"/>
        <w:jc w:val="center"/>
        <w:rPr>
          <w:rFonts w:ascii="Arial Narrow" w:hAnsi="Arial Narrow" w:eastAsia="黑体"/>
          <w:b/>
          <w:color w:val="auto"/>
          <w:sz w:val="36"/>
          <w:szCs w:val="36"/>
        </w:rPr>
      </w:pPr>
      <w:r>
        <w:rPr>
          <w:rFonts w:hint="eastAsia" w:ascii="黑体" w:hAnsi="黑体" w:eastAsia="黑体" w:cs="仿宋_GB2312"/>
          <w:b/>
          <w:color w:val="auto"/>
          <w:sz w:val="36"/>
          <w:szCs w:val="36"/>
        </w:rPr>
        <w:t>竞赛规程</w:t>
      </w:r>
    </w:p>
    <w:p>
      <w:pPr>
        <w:snapToGrid w:val="0"/>
        <w:spacing w:line="540" w:lineRule="exact"/>
        <w:ind w:firstLine="602" w:firstLineChars="200"/>
        <w:rPr>
          <w:rFonts w:ascii="Arial Narrow" w:hAnsi="Arial Narrow" w:eastAsia="仿宋_GB2312" w:cs="Arial"/>
          <w:b/>
          <w:bCs/>
          <w:color w:val="auto"/>
          <w:sz w:val="30"/>
          <w:szCs w:val="30"/>
        </w:rPr>
      </w:pPr>
      <w:r>
        <w:rPr>
          <w:rFonts w:hint="eastAsia" w:ascii="Arial Narrow" w:hAnsi="Arial Narrow" w:eastAsia="仿宋_GB2312" w:cs="Arial"/>
          <w:b/>
          <w:bCs/>
          <w:color w:val="auto"/>
          <w:sz w:val="30"/>
          <w:szCs w:val="30"/>
        </w:rPr>
        <w:t>一、赛项名称</w:t>
      </w:r>
    </w:p>
    <w:p>
      <w:pPr>
        <w:snapToGrid w:val="0"/>
        <w:spacing w:line="540" w:lineRule="exact"/>
        <w:ind w:firstLine="602" w:firstLineChars="200"/>
        <w:rPr>
          <w:rFonts w:ascii="Arial Narrow" w:hAnsi="Arial Narrow" w:eastAsia="仿宋_GB2312" w:cs="Arial"/>
          <w:color w:val="auto"/>
          <w:sz w:val="30"/>
          <w:szCs w:val="30"/>
        </w:rPr>
      </w:pPr>
      <w:r>
        <w:rPr>
          <w:rFonts w:hint="eastAsia" w:ascii="仿宋_GB2312" w:hAnsi="Arial Narrow" w:eastAsia="仿宋_GB2312" w:cs="Arial"/>
          <w:b/>
          <w:bCs/>
          <w:color w:val="auto"/>
          <w:sz w:val="30"/>
          <w:szCs w:val="30"/>
        </w:rPr>
        <w:t>“精雕杯”</w:t>
      </w:r>
      <w:r>
        <w:rPr>
          <w:rFonts w:hint="eastAsia" w:ascii="仿宋_GB2312" w:hAnsi="Arial Narrow" w:eastAsia="仿宋_GB2312" w:cs="Arial"/>
          <w:b/>
          <w:bCs/>
          <w:color w:val="auto"/>
          <w:sz w:val="30"/>
          <w:szCs w:val="30"/>
          <w:lang w:val="en-US" w:eastAsia="zh-CN"/>
        </w:rPr>
        <w:t>快速制造与五轴精密加工技术</w:t>
      </w:r>
      <w:r>
        <w:rPr>
          <w:rFonts w:hint="eastAsia" w:ascii="仿宋_GB2312" w:hAnsi="Arial Narrow" w:eastAsia="仿宋_GB2312" w:cs="Arial"/>
          <w:b/>
          <w:bCs/>
          <w:color w:val="auto"/>
          <w:sz w:val="30"/>
          <w:szCs w:val="30"/>
        </w:rPr>
        <w:t>(</w:t>
      </w:r>
      <w:r>
        <w:rPr>
          <w:rFonts w:hint="eastAsia" w:ascii="仿宋_GB2312" w:hAnsi="微软雅黑" w:eastAsia="仿宋_GB2312" w:cs="微软雅黑"/>
          <w:b/>
          <w:bCs/>
          <w:color w:val="auto"/>
          <w:sz w:val="30"/>
          <w:szCs w:val="30"/>
        </w:rPr>
        <w:t>教师组</w:t>
      </w:r>
      <w:r>
        <w:rPr>
          <w:rFonts w:hint="eastAsia" w:ascii="仿宋_GB2312" w:hAnsi="Arial Narrow" w:eastAsia="仿宋_GB2312" w:cs="Arial"/>
          <w:color w:val="auto"/>
          <w:sz w:val="30"/>
          <w:szCs w:val="30"/>
        </w:rPr>
        <w:t>)</w:t>
      </w:r>
    </w:p>
    <w:p>
      <w:pPr>
        <w:snapToGrid w:val="0"/>
        <w:spacing w:line="540" w:lineRule="exact"/>
        <w:ind w:firstLine="602" w:firstLineChars="200"/>
        <w:rPr>
          <w:rFonts w:ascii="Arial Narrow" w:hAnsi="Arial Narrow" w:eastAsia="仿宋_GB2312" w:cs="Arial"/>
          <w:b/>
          <w:bCs/>
          <w:color w:val="auto"/>
          <w:sz w:val="30"/>
          <w:szCs w:val="30"/>
        </w:rPr>
      </w:pPr>
      <w:r>
        <w:rPr>
          <w:rFonts w:hint="eastAsia" w:ascii="Arial Narrow" w:hAnsi="Arial Narrow" w:eastAsia="仿宋_GB2312" w:cs="Arial"/>
          <w:b/>
          <w:bCs/>
          <w:color w:val="auto"/>
          <w:sz w:val="30"/>
          <w:szCs w:val="30"/>
        </w:rPr>
        <w:t>二、赛项组别</w:t>
      </w:r>
      <w:r>
        <w:rPr>
          <w:rFonts w:ascii="Arial Narrow" w:hAnsi="Arial Narrow" w:eastAsia="仿宋_GB2312" w:cs="Arial"/>
          <w:b/>
          <w:bCs/>
          <w:color w:val="auto"/>
          <w:sz w:val="30"/>
          <w:szCs w:val="30"/>
        </w:rPr>
        <w:t>及</w:t>
      </w:r>
      <w:r>
        <w:rPr>
          <w:rFonts w:hint="eastAsia" w:ascii="Arial Narrow" w:hAnsi="Arial Narrow" w:eastAsia="仿宋_GB2312" w:cs="Arial"/>
          <w:b/>
          <w:bCs/>
          <w:color w:val="auto"/>
          <w:sz w:val="30"/>
          <w:szCs w:val="30"/>
        </w:rPr>
        <w:t>参赛对象</w:t>
      </w:r>
    </w:p>
    <w:p>
      <w:pPr>
        <w:spacing w:line="360" w:lineRule="auto"/>
        <w:ind w:firstLine="600" w:firstLineChars="200"/>
        <w:rPr>
          <w:rFonts w:ascii="楷体" w:hAnsi="楷体" w:eastAsia="楷体" w:cs="仿宋"/>
          <w:color w:val="auto"/>
          <w:sz w:val="30"/>
          <w:szCs w:val="30"/>
        </w:rPr>
      </w:pPr>
      <w:r>
        <w:rPr>
          <w:rFonts w:hint="eastAsia" w:ascii="楷体" w:hAnsi="楷体" w:eastAsia="楷体" w:cs="仿宋"/>
          <w:color w:val="auto"/>
          <w:sz w:val="30"/>
          <w:szCs w:val="30"/>
        </w:rPr>
        <w:t>（一）赛项组别</w:t>
      </w:r>
    </w:p>
    <w:p>
      <w:pPr>
        <w:spacing w:line="560" w:lineRule="exact"/>
        <w:ind w:firstLine="600" w:firstLineChars="200"/>
        <w:jc w:val="left"/>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教师组</w:t>
      </w:r>
    </w:p>
    <w:p>
      <w:pPr>
        <w:spacing w:line="360" w:lineRule="auto"/>
        <w:ind w:firstLine="600" w:firstLineChars="200"/>
        <w:rPr>
          <w:rFonts w:ascii="楷体" w:hAnsi="楷体" w:eastAsia="楷体" w:cs="仿宋"/>
          <w:color w:val="auto"/>
          <w:sz w:val="30"/>
          <w:szCs w:val="30"/>
        </w:rPr>
      </w:pPr>
      <w:r>
        <w:rPr>
          <w:rFonts w:hint="eastAsia" w:ascii="楷体" w:hAnsi="楷体" w:eastAsia="楷体" w:cs="仿宋"/>
          <w:color w:val="auto"/>
          <w:sz w:val="30"/>
          <w:szCs w:val="30"/>
        </w:rPr>
        <w:t>（二）参赛对象</w:t>
      </w:r>
    </w:p>
    <w:p>
      <w:pPr>
        <w:snapToGrid w:val="0"/>
        <w:spacing w:line="560" w:lineRule="exact"/>
        <w:ind w:firstLine="600"/>
        <w:jc w:val="left"/>
        <w:rPr>
          <w:rFonts w:ascii="仿宋_GB2312" w:hAnsi="仿宋_GB2312" w:eastAsia="仿宋_GB2312"/>
          <w:color w:val="auto"/>
          <w:sz w:val="30"/>
        </w:rPr>
      </w:pPr>
      <w:r>
        <w:rPr>
          <w:rFonts w:hint="eastAsia" w:ascii="仿宋_GB2312" w:hAnsi="仿宋_GB2312" w:eastAsia="仿宋_GB2312"/>
          <w:color w:val="auto"/>
          <w:sz w:val="30"/>
        </w:rPr>
        <w:t>应用型本科、</w:t>
      </w:r>
      <w:r>
        <w:rPr>
          <w:rFonts w:hint="eastAsia" w:ascii="仿宋_GB2312" w:hAnsi="仿宋_GB2312" w:eastAsia="仿宋_GB2312"/>
          <w:color w:val="auto"/>
          <w:sz w:val="30"/>
          <w:lang w:val="en-US" w:eastAsia="zh-CN"/>
        </w:rPr>
        <w:t>中、</w:t>
      </w:r>
      <w:r>
        <w:rPr>
          <w:rFonts w:hint="eastAsia" w:ascii="仿宋_GB2312" w:hAnsi="仿宋_GB2312" w:eastAsia="仿宋_GB2312"/>
          <w:color w:val="auto"/>
          <w:sz w:val="30"/>
        </w:rPr>
        <w:t>高职高专、技师学院在籍任职老师。</w:t>
      </w:r>
    </w:p>
    <w:p>
      <w:pPr>
        <w:snapToGrid w:val="0"/>
        <w:spacing w:line="540" w:lineRule="exact"/>
        <w:ind w:firstLine="602" w:firstLineChars="200"/>
        <w:rPr>
          <w:rFonts w:ascii="Arial Narrow" w:hAnsi="Arial Narrow" w:eastAsia="仿宋_GB2312" w:cs="Arial"/>
          <w:b/>
          <w:bCs/>
          <w:color w:val="auto"/>
          <w:sz w:val="30"/>
          <w:szCs w:val="30"/>
        </w:rPr>
      </w:pPr>
      <w:r>
        <w:rPr>
          <w:rFonts w:hint="eastAsia" w:ascii="Arial Narrow" w:hAnsi="Arial Narrow" w:eastAsia="仿宋_GB2312" w:cs="Arial"/>
          <w:b/>
          <w:bCs/>
          <w:color w:val="auto"/>
          <w:sz w:val="30"/>
          <w:szCs w:val="30"/>
        </w:rPr>
        <w:t>三、竞赛拟定时间及地点</w:t>
      </w:r>
    </w:p>
    <w:p>
      <w:pPr>
        <w:spacing w:line="360" w:lineRule="auto"/>
        <w:ind w:firstLine="600" w:firstLineChars="200"/>
        <w:rPr>
          <w:rFonts w:ascii="楷体" w:hAnsi="楷体" w:eastAsia="楷体" w:cs="仿宋"/>
          <w:color w:val="auto"/>
          <w:sz w:val="30"/>
          <w:szCs w:val="30"/>
        </w:rPr>
      </w:pPr>
      <w:r>
        <w:rPr>
          <w:rFonts w:hint="eastAsia" w:ascii="楷体" w:hAnsi="楷体" w:eastAsia="楷体" w:cs="仿宋"/>
          <w:color w:val="auto"/>
          <w:sz w:val="30"/>
          <w:szCs w:val="30"/>
        </w:rPr>
        <w:t>（一）竞赛</w:t>
      </w:r>
      <w:r>
        <w:rPr>
          <w:rFonts w:ascii="楷体" w:hAnsi="楷体" w:eastAsia="楷体" w:cs="仿宋"/>
          <w:color w:val="auto"/>
          <w:sz w:val="30"/>
          <w:szCs w:val="30"/>
        </w:rPr>
        <w:t>时间</w:t>
      </w:r>
    </w:p>
    <w:p>
      <w:pPr>
        <w:keepNext w:val="0"/>
        <w:keepLines w:val="0"/>
        <w:pageBreakBefore w:val="0"/>
        <w:widowControl w:val="0"/>
        <w:kinsoku/>
        <w:wordWrap/>
        <w:overflowPunct/>
        <w:topLinePunct w:val="0"/>
        <w:autoSpaceDE/>
        <w:autoSpaceDN/>
        <w:bidi w:val="0"/>
        <w:adjustRightInd/>
        <w:spacing w:line="360" w:lineRule="auto"/>
        <w:ind w:firstLine="900" w:firstLineChars="300"/>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202</w:t>
      </w:r>
      <w:r>
        <w:rPr>
          <w:rFonts w:hint="eastAsia" w:ascii="仿宋" w:hAnsi="仿宋" w:eastAsia="仿宋" w:cs="仿宋"/>
          <w:color w:val="auto"/>
          <w:sz w:val="30"/>
          <w:szCs w:val="30"/>
          <w:lang w:val="en-US" w:eastAsia="zh-CN"/>
        </w:rPr>
        <w:t>3</w:t>
      </w:r>
      <w:r>
        <w:rPr>
          <w:rFonts w:ascii="仿宋" w:hAnsi="仿宋" w:eastAsia="仿宋" w:cs="仿宋"/>
          <w:color w:val="auto"/>
          <w:sz w:val="30"/>
          <w:szCs w:val="30"/>
        </w:rPr>
        <w:t>年</w:t>
      </w:r>
      <w:r>
        <w:rPr>
          <w:rFonts w:hint="eastAsia" w:ascii="仿宋" w:hAnsi="仿宋" w:eastAsia="仿宋" w:cs="仿宋"/>
          <w:color w:val="auto"/>
          <w:sz w:val="30"/>
          <w:szCs w:val="30"/>
          <w:lang w:val="en-US" w:eastAsia="zh-CN"/>
        </w:rPr>
        <w:t>12</w:t>
      </w:r>
      <w:r>
        <w:rPr>
          <w:rFonts w:ascii="仿宋" w:hAnsi="仿宋" w:eastAsia="仿宋" w:cs="仿宋"/>
          <w:color w:val="auto"/>
          <w:sz w:val="30"/>
          <w:szCs w:val="30"/>
        </w:rPr>
        <w:t>月</w:t>
      </w:r>
      <w:r>
        <w:rPr>
          <w:rFonts w:hint="eastAsia" w:ascii="仿宋" w:hAnsi="仿宋" w:eastAsia="仿宋" w:cs="仿宋"/>
          <w:color w:val="auto"/>
          <w:sz w:val="30"/>
          <w:szCs w:val="30"/>
          <w:lang w:val="en-US" w:eastAsia="zh-CN"/>
        </w:rPr>
        <w:t>21</w:t>
      </w:r>
      <w:r>
        <w:rPr>
          <w:rFonts w:hint="eastAsia" w:ascii="仿宋" w:hAnsi="仿宋" w:eastAsia="仿宋" w:cs="仿宋"/>
          <w:color w:val="auto"/>
          <w:sz w:val="30"/>
          <w:szCs w:val="30"/>
        </w:rPr>
        <w:t>日</w:t>
      </w:r>
      <w:r>
        <w:rPr>
          <w:rFonts w:hint="eastAsia" w:ascii="仿宋" w:hAnsi="仿宋" w:eastAsia="仿宋" w:cs="仿宋"/>
          <w:color w:val="auto"/>
          <w:sz w:val="30"/>
          <w:szCs w:val="30"/>
          <w:lang w:val="en-US" w:eastAsia="zh-CN"/>
        </w:rPr>
        <w:t>～24日</w:t>
      </w:r>
      <w:r>
        <w:rPr>
          <w:rFonts w:ascii="仿宋" w:hAnsi="仿宋" w:eastAsia="仿宋" w:cs="仿宋"/>
          <w:color w:val="auto"/>
          <w:sz w:val="30"/>
          <w:szCs w:val="30"/>
        </w:rPr>
        <w:t>。</w:t>
      </w:r>
    </w:p>
    <w:p>
      <w:pPr>
        <w:spacing w:line="360" w:lineRule="auto"/>
        <w:ind w:firstLine="600" w:firstLineChars="200"/>
        <w:rPr>
          <w:rFonts w:ascii="楷体" w:hAnsi="楷体" w:eastAsia="楷体" w:cs="仿宋"/>
          <w:color w:val="auto"/>
          <w:sz w:val="30"/>
          <w:szCs w:val="30"/>
        </w:rPr>
      </w:pPr>
      <w:r>
        <w:rPr>
          <w:rFonts w:hint="eastAsia" w:ascii="楷体" w:hAnsi="楷体" w:eastAsia="楷体" w:cs="仿宋"/>
          <w:color w:val="auto"/>
          <w:sz w:val="30"/>
          <w:szCs w:val="30"/>
        </w:rPr>
        <w:t>（二）竞赛</w:t>
      </w:r>
      <w:r>
        <w:rPr>
          <w:rFonts w:ascii="楷体" w:hAnsi="楷体" w:eastAsia="楷体" w:cs="仿宋"/>
          <w:color w:val="auto"/>
          <w:sz w:val="30"/>
          <w:szCs w:val="30"/>
        </w:rPr>
        <w:t>地点</w:t>
      </w:r>
    </w:p>
    <w:p>
      <w:pPr>
        <w:spacing w:line="560" w:lineRule="exact"/>
        <w:ind w:firstLine="600" w:firstLineChars="200"/>
        <w:jc w:val="left"/>
        <w:rPr>
          <w:rFonts w:hint="eastAsia" w:ascii="仿宋_GB2312" w:hAnsi="宋体" w:eastAsia="仿宋_GB2312"/>
          <w:color w:val="auto"/>
          <w:kern w:val="0"/>
          <w:sz w:val="30"/>
          <w:szCs w:val="30"/>
        </w:rPr>
      </w:pPr>
      <w:r>
        <w:rPr>
          <w:rFonts w:hint="eastAsia" w:ascii="仿宋_GB2312" w:hAnsi="宋体" w:eastAsia="仿宋_GB2312"/>
          <w:color w:val="auto"/>
          <w:kern w:val="0"/>
          <w:sz w:val="30"/>
          <w:szCs w:val="30"/>
          <w:lang w:eastAsia="zh-CN"/>
        </w:rPr>
        <w:t>东莞市精雕职业培训第二学校（</w:t>
      </w:r>
      <w:r>
        <w:rPr>
          <w:rFonts w:ascii="仿宋_GB2312" w:hAnsi="宋体" w:eastAsia="仿宋_GB2312"/>
          <w:color w:val="auto"/>
          <w:kern w:val="0"/>
          <w:sz w:val="30"/>
          <w:szCs w:val="30"/>
        </w:rPr>
        <w:t>广东省东莞市龙湖街与长生路交叉口</w:t>
      </w:r>
      <w:r>
        <w:rPr>
          <w:rFonts w:hint="eastAsia" w:ascii="仿宋_GB2312" w:hAnsi="宋体" w:eastAsia="仿宋_GB2312"/>
          <w:color w:val="auto"/>
          <w:kern w:val="0"/>
          <w:sz w:val="30"/>
          <w:szCs w:val="30"/>
          <w:lang w:eastAsia="zh-CN"/>
        </w:rPr>
        <w:t>）</w:t>
      </w:r>
      <w:r>
        <w:rPr>
          <w:rFonts w:hint="eastAsia" w:ascii="仿宋_GB2312" w:hAnsi="宋体" w:eastAsia="仿宋_GB2312"/>
          <w:color w:val="auto"/>
          <w:kern w:val="0"/>
          <w:sz w:val="30"/>
          <w:szCs w:val="30"/>
        </w:rPr>
        <w:t>。</w:t>
      </w:r>
    </w:p>
    <w:p>
      <w:pPr>
        <w:spacing w:line="560" w:lineRule="exact"/>
        <w:ind w:firstLine="600" w:firstLineChars="200"/>
        <w:jc w:val="left"/>
        <w:rPr>
          <w:rFonts w:hint="eastAsia" w:ascii="仿宋_GB2312" w:hAnsi="仿宋_GB2312" w:eastAsia="仿宋_GB2312" w:cs="仿宋_GB2312"/>
          <w:color w:val="auto"/>
          <w:sz w:val="30"/>
          <w:szCs w:val="30"/>
        </w:rPr>
      </w:pPr>
      <w:r>
        <w:rPr>
          <w:rFonts w:hint="eastAsia" w:ascii="仿宋" w:hAnsi="仿宋" w:eastAsia="仿宋" w:cs="仿宋"/>
          <w:color w:val="auto"/>
          <w:sz w:val="30"/>
          <w:szCs w:val="30"/>
        </w:rPr>
        <w:t>报到地点和住宿酒店等安排详见报到通知。</w:t>
      </w:r>
    </w:p>
    <w:p>
      <w:pPr>
        <w:snapToGrid w:val="0"/>
        <w:spacing w:line="540" w:lineRule="exact"/>
        <w:ind w:firstLine="602" w:firstLineChars="200"/>
        <w:rPr>
          <w:rFonts w:ascii="Arial Narrow" w:hAnsi="Arial Narrow" w:eastAsia="仿宋_GB2312" w:cs="Arial"/>
          <w:b/>
          <w:bCs/>
          <w:color w:val="auto"/>
          <w:sz w:val="30"/>
          <w:szCs w:val="30"/>
        </w:rPr>
      </w:pPr>
      <w:r>
        <w:rPr>
          <w:rFonts w:hint="eastAsia" w:ascii="Arial Narrow" w:hAnsi="Arial Narrow" w:eastAsia="仿宋_GB2312" w:cs="Arial"/>
          <w:b/>
          <w:bCs/>
          <w:color w:val="auto"/>
          <w:sz w:val="30"/>
          <w:szCs w:val="30"/>
        </w:rPr>
        <w:t>四、竞赛方式与内容</w:t>
      </w:r>
    </w:p>
    <w:p>
      <w:pPr>
        <w:widowControl/>
        <w:spacing w:line="560" w:lineRule="exact"/>
        <w:ind w:firstLine="600"/>
        <w:jc w:val="left"/>
        <w:rPr>
          <w:rFonts w:ascii="仿宋_GB2312" w:hAnsi="仿宋_GB2312" w:eastAsia="仿宋_GB2312"/>
          <w:color w:val="auto"/>
          <w:sz w:val="30"/>
          <w:szCs w:val="30"/>
        </w:rPr>
      </w:pPr>
      <w:r>
        <w:rPr>
          <w:rFonts w:hint="eastAsia" w:ascii="楷体" w:hAnsi="楷体" w:eastAsia="楷体" w:cs="仿宋"/>
          <w:color w:val="auto"/>
          <w:sz w:val="30"/>
          <w:szCs w:val="30"/>
        </w:rPr>
        <w:t>（一）竞赛</w:t>
      </w:r>
      <w:r>
        <w:rPr>
          <w:rFonts w:hint="eastAsia" w:ascii="仿宋_GB2312" w:hAnsi="楷体" w:eastAsia="仿宋_GB2312" w:cs="仿宋"/>
          <w:color w:val="auto"/>
          <w:sz w:val="30"/>
          <w:szCs w:val="30"/>
        </w:rPr>
        <w:t>方式：</w:t>
      </w:r>
      <w:r>
        <w:rPr>
          <w:rFonts w:hint="eastAsia" w:ascii="仿宋_GB2312" w:hAnsi="仿宋_GB2312" w:eastAsia="仿宋_GB2312"/>
          <w:color w:val="auto"/>
          <w:sz w:val="30"/>
          <w:szCs w:val="30"/>
        </w:rPr>
        <w:t>本赛项为个人赛，每支参赛队由</w:t>
      </w:r>
      <w:r>
        <w:rPr>
          <w:rFonts w:ascii="仿宋_GB2312" w:hAnsi="仿宋_GB2312" w:eastAsia="仿宋_GB2312"/>
          <w:color w:val="auto"/>
          <w:sz w:val="30"/>
          <w:szCs w:val="30"/>
        </w:rPr>
        <w:t>1</w:t>
      </w:r>
      <w:r>
        <w:rPr>
          <w:rFonts w:hint="eastAsia" w:ascii="仿宋_GB2312" w:hAnsi="仿宋_GB2312" w:eastAsia="仿宋_GB2312"/>
          <w:color w:val="auto"/>
          <w:sz w:val="30"/>
          <w:szCs w:val="30"/>
        </w:rPr>
        <w:t>名选手组成。全国限报</w:t>
      </w:r>
      <w:r>
        <w:rPr>
          <w:rFonts w:hint="eastAsia" w:ascii="仿宋_GB2312" w:hAnsi="仿宋_GB2312" w:eastAsia="仿宋_GB2312"/>
          <w:color w:val="auto"/>
          <w:sz w:val="30"/>
          <w:szCs w:val="30"/>
          <w:lang w:val="en-US" w:eastAsia="zh-CN"/>
        </w:rPr>
        <w:t>15</w:t>
      </w:r>
      <w:r>
        <w:rPr>
          <w:rFonts w:hint="eastAsia" w:ascii="仿宋_GB2312" w:hAnsi="仿宋_GB2312" w:eastAsia="仿宋_GB2312"/>
          <w:color w:val="auto"/>
          <w:sz w:val="30"/>
          <w:szCs w:val="30"/>
        </w:rPr>
        <w:t>支队伍，报满为止。</w:t>
      </w:r>
    </w:p>
    <w:p>
      <w:pPr>
        <w:widowControl/>
        <w:spacing w:line="560" w:lineRule="exact"/>
        <w:ind w:firstLine="600"/>
        <w:jc w:val="left"/>
        <w:rPr>
          <w:rFonts w:hint="eastAsia" w:ascii="楷体" w:hAnsi="楷体" w:eastAsia="楷体" w:cs="仿宋"/>
          <w:color w:val="auto"/>
          <w:sz w:val="30"/>
          <w:szCs w:val="30"/>
        </w:rPr>
      </w:pPr>
      <w:r>
        <w:rPr>
          <w:rFonts w:hint="eastAsia" w:ascii="楷体" w:hAnsi="楷体" w:eastAsia="楷体" w:cs="仿宋"/>
          <w:color w:val="auto"/>
          <w:sz w:val="30"/>
          <w:szCs w:val="30"/>
        </w:rPr>
        <w:t>（二）竞赛内容：</w:t>
      </w:r>
    </w:p>
    <w:p>
      <w:pPr>
        <w:widowControl/>
        <w:spacing w:line="560" w:lineRule="exact"/>
        <w:ind w:firstLine="600"/>
        <w:jc w:val="left"/>
        <w:rPr>
          <w:rFonts w:ascii="仿宋_GB2312" w:hAnsi="仿宋_GB2312" w:eastAsia="仿宋_GB2312"/>
          <w:color w:val="auto"/>
          <w:sz w:val="30"/>
          <w:szCs w:val="30"/>
        </w:rPr>
      </w:pPr>
      <w:r>
        <w:rPr>
          <w:rFonts w:hint="eastAsia" w:ascii="仿宋_GB2312" w:hAnsi="仿宋_GB2312" w:eastAsia="仿宋_GB2312"/>
          <w:color w:val="auto"/>
          <w:sz w:val="30"/>
          <w:szCs w:val="30"/>
          <w:lang w:eastAsia="zh-CN"/>
        </w:rPr>
        <w:t>赛前选手需完成规定赛件的设计、加工，并按照比赛要求进行提交。</w:t>
      </w:r>
      <w:r>
        <w:rPr>
          <w:rFonts w:hint="eastAsia" w:ascii="仿宋_GB2312" w:hAnsi="仿宋_GB2312" w:eastAsia="仿宋_GB2312"/>
          <w:color w:val="auto"/>
          <w:sz w:val="30"/>
          <w:szCs w:val="30"/>
        </w:rPr>
        <w:t>在</w:t>
      </w:r>
      <w:r>
        <w:rPr>
          <w:rFonts w:hint="eastAsia" w:ascii="仿宋_GB2312" w:hAnsi="仿宋_GB2312" w:eastAsia="仿宋_GB2312"/>
          <w:color w:val="auto"/>
          <w:sz w:val="30"/>
          <w:szCs w:val="30"/>
          <w:lang w:eastAsia="zh-CN"/>
        </w:rPr>
        <w:t>正式比赛的</w:t>
      </w:r>
      <w:r>
        <w:rPr>
          <w:rFonts w:hint="eastAsia" w:ascii="仿宋_GB2312" w:hAnsi="仿宋_GB2312" w:eastAsia="仿宋_GB2312"/>
          <w:color w:val="auto"/>
          <w:sz w:val="30"/>
          <w:szCs w:val="30"/>
          <w:lang w:val="en-US" w:eastAsia="zh-CN"/>
        </w:rPr>
        <w:t>4</w:t>
      </w:r>
      <w:r>
        <w:rPr>
          <w:rFonts w:hint="eastAsia" w:ascii="仿宋_GB2312" w:hAnsi="仿宋_GB2312" w:eastAsia="仿宋_GB2312"/>
          <w:color w:val="auto"/>
          <w:sz w:val="30"/>
          <w:szCs w:val="30"/>
        </w:rPr>
        <w:t>个小时内，</w:t>
      </w:r>
      <w:r>
        <w:rPr>
          <w:rFonts w:hint="eastAsia" w:ascii="仿宋_GB2312" w:hAnsi="仿宋_GB2312" w:eastAsia="仿宋_GB2312"/>
          <w:color w:val="auto"/>
          <w:sz w:val="30"/>
          <w:szCs w:val="30"/>
          <w:lang w:eastAsia="zh-CN"/>
        </w:rPr>
        <w:t>选手需要</w:t>
      </w:r>
      <w:r>
        <w:rPr>
          <w:rFonts w:hint="eastAsia" w:ascii="仿宋_GB2312" w:hAnsi="仿宋_GB2312" w:eastAsia="仿宋_GB2312"/>
          <w:color w:val="auto"/>
          <w:sz w:val="30"/>
          <w:szCs w:val="30"/>
        </w:rPr>
        <w:t>根据给定任务书和工程图、零件模型等，利用赛场提供的数控机床、相关软件平台完成工艺设计→数控编程→五轴零件加工→在机检测→生成检测数据报告</w:t>
      </w:r>
      <w:r>
        <w:rPr>
          <w:rFonts w:hint="eastAsia" w:ascii="仿宋_GB2312" w:hAnsi="仿宋_GB2312" w:eastAsia="仿宋_GB2312"/>
          <w:color w:val="auto"/>
          <w:sz w:val="30"/>
          <w:szCs w:val="30"/>
          <w:lang w:eastAsia="zh-CN"/>
        </w:rPr>
        <w:t>，最后根据任务书和工程图要求完成零件装配</w:t>
      </w:r>
      <w:r>
        <w:rPr>
          <w:rFonts w:hint="eastAsia" w:ascii="仿宋_GB2312" w:hAnsi="仿宋_GB2312" w:eastAsia="仿宋_GB2312"/>
          <w:color w:val="auto"/>
          <w:sz w:val="30"/>
          <w:szCs w:val="30"/>
        </w:rPr>
        <w:t>。</w:t>
      </w:r>
    </w:p>
    <w:p>
      <w:pPr>
        <w:pStyle w:val="2"/>
        <w:spacing w:line="540" w:lineRule="exact"/>
        <w:ind w:firstLine="585"/>
        <w:rPr>
          <w:rFonts w:hint="eastAsia" w:ascii="仿宋" w:hAnsi="仿宋" w:eastAsia="仿宋" w:cs="仿宋"/>
          <w:b w:val="0"/>
          <w:bCs w:val="0"/>
          <w:color w:val="auto"/>
          <w:sz w:val="30"/>
          <w:szCs w:val="30"/>
        </w:rPr>
      </w:pPr>
      <w:r>
        <w:rPr>
          <w:rFonts w:hint="eastAsia" w:ascii="仿宋" w:hAnsi="仿宋" w:eastAsia="仿宋" w:cs="仿宋"/>
          <w:b w:val="0"/>
          <w:bCs w:val="0"/>
          <w:color w:val="auto"/>
          <w:sz w:val="30"/>
          <w:szCs w:val="30"/>
        </w:rPr>
        <w:t>(1)</w:t>
      </w:r>
      <w:r>
        <w:rPr>
          <w:rFonts w:hint="eastAsia" w:ascii="仿宋" w:hAnsi="仿宋" w:eastAsia="仿宋" w:cs="仿宋"/>
          <w:b w:val="0"/>
          <w:bCs w:val="0"/>
          <w:color w:val="auto"/>
          <w:sz w:val="30"/>
          <w:szCs w:val="30"/>
          <w:lang w:val="en-US" w:eastAsia="zh-CN"/>
        </w:rPr>
        <w:t>数控编程与仿真</w:t>
      </w:r>
      <w:r>
        <w:rPr>
          <w:rFonts w:hint="eastAsia" w:ascii="仿宋" w:hAnsi="仿宋" w:eastAsia="仿宋" w:cs="仿宋"/>
          <w:b w:val="0"/>
          <w:bCs w:val="0"/>
          <w:color w:val="auto"/>
          <w:sz w:val="30"/>
          <w:szCs w:val="30"/>
        </w:rPr>
        <w:t>(10%)</w:t>
      </w:r>
    </w:p>
    <w:p>
      <w:pPr>
        <w:widowControl/>
        <w:spacing w:line="560" w:lineRule="exact"/>
        <w:ind w:firstLine="600"/>
        <w:jc w:val="left"/>
        <w:rPr>
          <w:rFonts w:hint="eastAsia" w:ascii="仿宋_GB2312" w:hAnsi="仿宋_GB2312" w:eastAsia="仿宋_GB2312"/>
          <w:color w:val="auto"/>
          <w:sz w:val="30"/>
          <w:szCs w:val="30"/>
          <w:lang w:eastAsia="zh-CN"/>
        </w:rPr>
      </w:pPr>
      <w:r>
        <w:rPr>
          <w:rFonts w:hint="eastAsia" w:ascii="仿宋_GB2312" w:hAnsi="仿宋_GB2312" w:eastAsia="仿宋_GB2312"/>
          <w:color w:val="auto"/>
          <w:sz w:val="30"/>
          <w:szCs w:val="30"/>
          <w:lang w:val="en-US" w:eastAsia="zh-CN"/>
        </w:rPr>
        <w:t>利用大赛指定软件 JDSoft SurfMill，对零件进行工艺分析，并完成数控编程及仿真。</w:t>
      </w:r>
    </w:p>
    <w:p>
      <w:pPr>
        <w:pStyle w:val="2"/>
        <w:spacing w:line="540" w:lineRule="exact"/>
        <w:ind w:firstLine="585"/>
        <w:rPr>
          <w:rFonts w:hint="eastAsia" w:ascii="仿宋" w:hAnsi="仿宋" w:eastAsia="仿宋" w:cs="仿宋"/>
          <w:b w:val="0"/>
          <w:bCs w:val="0"/>
          <w:color w:val="auto"/>
          <w:sz w:val="30"/>
          <w:szCs w:val="30"/>
        </w:rPr>
      </w:pPr>
      <w:r>
        <w:rPr>
          <w:rFonts w:hint="eastAsia" w:ascii="仿宋" w:hAnsi="仿宋" w:eastAsia="仿宋" w:cs="仿宋"/>
          <w:b w:val="0"/>
          <w:bCs w:val="0"/>
          <w:color w:val="auto"/>
          <w:sz w:val="30"/>
          <w:szCs w:val="30"/>
        </w:rPr>
        <w:t>(2)五轴数控加工(6</w:t>
      </w:r>
      <w:r>
        <w:rPr>
          <w:rFonts w:hint="eastAsia" w:ascii="仿宋" w:hAnsi="仿宋" w:eastAsia="仿宋" w:cs="仿宋"/>
          <w:b w:val="0"/>
          <w:bCs w:val="0"/>
          <w:color w:val="auto"/>
          <w:sz w:val="30"/>
          <w:szCs w:val="30"/>
          <w:lang w:val="en-US" w:eastAsia="zh-CN"/>
        </w:rPr>
        <w:t>0</w:t>
      </w:r>
      <w:r>
        <w:rPr>
          <w:rFonts w:hint="eastAsia" w:ascii="仿宋" w:hAnsi="仿宋" w:eastAsia="仿宋" w:cs="仿宋"/>
          <w:b w:val="0"/>
          <w:bCs w:val="0"/>
          <w:color w:val="auto"/>
          <w:sz w:val="30"/>
          <w:szCs w:val="30"/>
        </w:rPr>
        <w:t>%)</w:t>
      </w:r>
    </w:p>
    <w:p>
      <w:pPr>
        <w:widowControl/>
        <w:spacing w:line="560" w:lineRule="exact"/>
        <w:ind w:firstLine="600"/>
        <w:jc w:val="left"/>
        <w:rPr>
          <w:rFonts w:hint="eastAsia" w:ascii="仿宋_GB2312" w:hAnsi="仿宋_GB2312" w:eastAsia="仿宋_GB2312"/>
          <w:color w:val="auto"/>
          <w:sz w:val="30"/>
          <w:szCs w:val="30"/>
          <w:lang w:eastAsia="zh-CN"/>
        </w:rPr>
      </w:pPr>
      <w:r>
        <w:rPr>
          <w:rFonts w:hint="eastAsia" w:ascii="仿宋_GB2312" w:hAnsi="仿宋_GB2312" w:eastAsia="仿宋_GB2312"/>
          <w:color w:val="auto"/>
          <w:sz w:val="30"/>
          <w:szCs w:val="30"/>
          <w:lang w:eastAsia="zh-CN"/>
        </w:rPr>
        <w:t>根据数控编程文件，利用提供的设备及工具、刀具等完成赛件的</w:t>
      </w:r>
      <w:r>
        <w:rPr>
          <w:rFonts w:hint="eastAsia" w:ascii="仿宋_GB2312" w:hAnsi="仿宋_GB2312" w:eastAsia="仿宋_GB2312"/>
          <w:color w:val="auto"/>
          <w:sz w:val="30"/>
          <w:szCs w:val="30"/>
          <w:lang w:val="en-US" w:eastAsia="zh-CN"/>
        </w:rPr>
        <w:t>数控加工</w:t>
      </w:r>
      <w:r>
        <w:rPr>
          <w:rFonts w:hint="eastAsia" w:ascii="仿宋_GB2312" w:hAnsi="仿宋_GB2312" w:eastAsia="仿宋_GB2312"/>
          <w:color w:val="auto"/>
          <w:sz w:val="30"/>
          <w:szCs w:val="30"/>
          <w:lang w:eastAsia="zh-CN"/>
        </w:rPr>
        <w:t>。</w:t>
      </w:r>
    </w:p>
    <w:p>
      <w:pPr>
        <w:pStyle w:val="2"/>
        <w:spacing w:line="540" w:lineRule="exact"/>
        <w:ind w:firstLine="585"/>
        <w:rPr>
          <w:rFonts w:hint="eastAsia" w:ascii="仿宋" w:hAnsi="仿宋" w:eastAsia="仿宋" w:cs="仿宋"/>
          <w:b w:val="0"/>
          <w:bCs w:val="0"/>
          <w:color w:val="auto"/>
          <w:sz w:val="30"/>
          <w:szCs w:val="30"/>
        </w:rPr>
      </w:pPr>
      <w:r>
        <w:rPr>
          <w:rFonts w:hint="eastAsia" w:ascii="仿宋" w:hAnsi="仿宋" w:eastAsia="仿宋" w:cs="仿宋"/>
          <w:b w:val="0"/>
          <w:bCs w:val="0"/>
          <w:color w:val="auto"/>
          <w:sz w:val="30"/>
          <w:szCs w:val="30"/>
        </w:rPr>
        <w:t>(3)在机检测（1</w:t>
      </w:r>
      <w:r>
        <w:rPr>
          <w:rFonts w:hint="eastAsia" w:ascii="仿宋" w:hAnsi="仿宋" w:eastAsia="仿宋" w:cs="仿宋"/>
          <w:b w:val="0"/>
          <w:bCs w:val="0"/>
          <w:color w:val="auto"/>
          <w:sz w:val="30"/>
          <w:szCs w:val="30"/>
          <w:lang w:val="en-US" w:eastAsia="zh-CN"/>
        </w:rPr>
        <w:t>5</w:t>
      </w:r>
      <w:r>
        <w:rPr>
          <w:rFonts w:hint="eastAsia" w:ascii="仿宋" w:hAnsi="仿宋" w:eastAsia="仿宋" w:cs="仿宋"/>
          <w:b w:val="0"/>
          <w:bCs w:val="0"/>
          <w:color w:val="auto"/>
          <w:sz w:val="30"/>
          <w:szCs w:val="30"/>
        </w:rPr>
        <w:t>%）</w:t>
      </w:r>
    </w:p>
    <w:p>
      <w:pPr>
        <w:widowControl/>
        <w:spacing w:line="560" w:lineRule="exact"/>
        <w:ind w:firstLine="600"/>
        <w:jc w:val="left"/>
        <w:rPr>
          <w:rFonts w:hint="eastAsia" w:ascii="仿宋_GB2312" w:hAnsi="仿宋_GB2312" w:eastAsia="仿宋_GB2312"/>
          <w:color w:val="auto"/>
          <w:sz w:val="30"/>
          <w:szCs w:val="30"/>
          <w:lang w:eastAsia="zh-CN"/>
        </w:rPr>
      </w:pPr>
      <w:r>
        <w:rPr>
          <w:rFonts w:hint="eastAsia" w:ascii="仿宋_GB2312" w:hAnsi="仿宋_GB2312" w:eastAsia="仿宋_GB2312"/>
          <w:color w:val="auto"/>
          <w:sz w:val="30"/>
          <w:szCs w:val="30"/>
          <w:lang w:val="en-US" w:eastAsia="zh-CN"/>
        </w:rPr>
        <w:t>利用数控系统的在机检测功能，使用大赛提供的设备、刀具及相关工具完成测头标定，工件位置补偿，指定要素的在机检测，并按照任务书要求输出检测报告。</w:t>
      </w:r>
    </w:p>
    <w:p>
      <w:pPr>
        <w:pStyle w:val="2"/>
        <w:spacing w:line="540" w:lineRule="exact"/>
        <w:ind w:firstLine="585"/>
        <w:rPr>
          <w:rFonts w:hint="eastAsia" w:ascii="仿宋" w:hAnsi="仿宋" w:eastAsia="仿宋" w:cs="仿宋"/>
          <w:b w:val="0"/>
          <w:bCs w:val="0"/>
          <w:color w:val="auto"/>
          <w:sz w:val="30"/>
          <w:szCs w:val="30"/>
        </w:rPr>
      </w:pPr>
      <w:r>
        <w:rPr>
          <w:rFonts w:hint="eastAsia" w:ascii="仿宋" w:hAnsi="仿宋" w:eastAsia="仿宋" w:cs="仿宋"/>
          <w:b w:val="0"/>
          <w:bCs w:val="0"/>
          <w:color w:val="auto"/>
          <w:sz w:val="30"/>
          <w:szCs w:val="30"/>
        </w:rPr>
        <w:t>(4)装配（</w:t>
      </w:r>
      <w:r>
        <w:rPr>
          <w:rFonts w:hint="eastAsia" w:ascii="仿宋" w:hAnsi="仿宋" w:eastAsia="仿宋" w:cs="仿宋"/>
          <w:b w:val="0"/>
          <w:bCs w:val="0"/>
          <w:color w:val="auto"/>
          <w:sz w:val="30"/>
          <w:szCs w:val="30"/>
          <w:lang w:val="en-US" w:eastAsia="zh-CN"/>
        </w:rPr>
        <w:t>10</w:t>
      </w:r>
      <w:r>
        <w:rPr>
          <w:rFonts w:hint="eastAsia" w:ascii="仿宋" w:hAnsi="仿宋" w:eastAsia="仿宋" w:cs="仿宋"/>
          <w:b w:val="0"/>
          <w:bCs w:val="0"/>
          <w:color w:val="auto"/>
          <w:sz w:val="30"/>
          <w:szCs w:val="30"/>
        </w:rPr>
        <w:t>%）</w:t>
      </w:r>
    </w:p>
    <w:p>
      <w:pPr>
        <w:widowControl/>
        <w:spacing w:line="560" w:lineRule="exact"/>
        <w:ind w:firstLine="600"/>
        <w:jc w:val="left"/>
        <w:rPr>
          <w:rFonts w:hint="eastAsia" w:ascii="仿宋_GB2312" w:hAnsi="仿宋_GB2312" w:eastAsia="仿宋_GB2312"/>
          <w:color w:val="auto"/>
          <w:sz w:val="30"/>
          <w:szCs w:val="30"/>
          <w:lang w:eastAsia="zh-CN"/>
        </w:rPr>
      </w:pPr>
      <w:r>
        <w:rPr>
          <w:rFonts w:hint="eastAsia" w:ascii="仿宋_GB2312" w:hAnsi="仿宋_GB2312" w:eastAsia="仿宋_GB2312"/>
          <w:color w:val="auto"/>
          <w:sz w:val="30"/>
          <w:szCs w:val="30"/>
          <w:lang w:eastAsia="zh-CN"/>
        </w:rPr>
        <w:t>根据工程图纸，利用提供的工具和配件完成赛件的装配。</w:t>
      </w:r>
    </w:p>
    <w:p>
      <w:pPr>
        <w:pStyle w:val="2"/>
        <w:spacing w:line="540" w:lineRule="exact"/>
        <w:ind w:firstLine="585"/>
        <w:rPr>
          <w:rFonts w:hint="eastAsia" w:ascii="仿宋" w:hAnsi="仿宋" w:eastAsia="仿宋" w:cs="仿宋"/>
          <w:b w:val="0"/>
          <w:bCs w:val="0"/>
          <w:color w:val="auto"/>
          <w:sz w:val="30"/>
          <w:szCs w:val="30"/>
        </w:rPr>
      </w:pPr>
      <w:r>
        <w:rPr>
          <w:rFonts w:hint="eastAsia" w:ascii="仿宋" w:hAnsi="仿宋" w:eastAsia="仿宋" w:cs="仿宋"/>
          <w:b w:val="0"/>
          <w:bCs w:val="0"/>
          <w:color w:val="auto"/>
          <w:sz w:val="30"/>
          <w:szCs w:val="30"/>
        </w:rPr>
        <w:t>(5)职业素养与操作安全(5%)</w:t>
      </w:r>
    </w:p>
    <w:p>
      <w:pPr>
        <w:widowControl/>
        <w:spacing w:line="560" w:lineRule="exact"/>
        <w:ind w:firstLine="600"/>
        <w:jc w:val="left"/>
        <w:rPr>
          <w:rFonts w:hint="eastAsia" w:ascii="仿宋_GB2312" w:hAnsi="仿宋_GB2312" w:eastAsia="仿宋_GB2312"/>
          <w:color w:val="auto"/>
          <w:sz w:val="30"/>
          <w:szCs w:val="30"/>
          <w:lang w:eastAsia="zh-CN"/>
        </w:rPr>
      </w:pPr>
      <w:r>
        <w:rPr>
          <w:rFonts w:hint="eastAsia" w:ascii="仿宋_GB2312" w:hAnsi="仿宋_GB2312" w:eastAsia="仿宋_GB2312"/>
          <w:color w:val="auto"/>
          <w:sz w:val="30"/>
          <w:szCs w:val="30"/>
          <w:lang w:eastAsia="zh-CN"/>
        </w:rPr>
        <w:t>在整个比赛期间，选手应严格遵遵守职业素养要求及安全操作规范，包括安全文明比赛、尊重裁判、着装规范、操作规范、物料摆放整齐、清理清洁、资料归档完整等。</w:t>
      </w:r>
    </w:p>
    <w:p>
      <w:pPr>
        <w:pStyle w:val="2"/>
        <w:spacing w:line="540" w:lineRule="exact"/>
        <w:ind w:firstLine="585"/>
        <w:rPr>
          <w:rFonts w:ascii="Arial Narrow" w:hAnsi="Arial Narrow" w:eastAsia="仿宋_GB2312" w:cs="Arial"/>
          <w:b/>
          <w:bCs/>
          <w:color w:val="auto"/>
          <w:sz w:val="30"/>
          <w:szCs w:val="30"/>
        </w:rPr>
      </w:pPr>
      <w:r>
        <w:rPr>
          <w:rFonts w:hint="eastAsia" w:ascii="Arial Narrow" w:hAnsi="Arial Narrow" w:eastAsia="仿宋_GB2312" w:cs="Arial"/>
          <w:b/>
          <w:bCs/>
          <w:color w:val="auto"/>
          <w:sz w:val="30"/>
          <w:szCs w:val="30"/>
        </w:rPr>
        <w:t>五、竞赛规则</w:t>
      </w:r>
    </w:p>
    <w:p>
      <w:pPr>
        <w:snapToGrid w:val="0"/>
        <w:spacing w:line="500" w:lineRule="exact"/>
        <w:ind w:firstLine="600"/>
        <w:jc w:val="left"/>
        <w:rPr>
          <w:rFonts w:ascii="华文楷体" w:hAnsi="华文楷体" w:eastAsia="华文楷体"/>
          <w:b/>
          <w:bCs/>
          <w:color w:val="auto"/>
          <w:sz w:val="30"/>
        </w:rPr>
      </w:pPr>
      <w:r>
        <w:rPr>
          <w:rFonts w:hint="eastAsia" w:ascii="华文楷体" w:hAnsi="华文楷体" w:eastAsia="华文楷体"/>
          <w:b/>
          <w:bCs/>
          <w:color w:val="auto"/>
          <w:sz w:val="30"/>
        </w:rPr>
        <w:t>（一）熟悉场地</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1.选手报到结束后，执委会安排各参赛队（自愿）熟悉场地并进行现场演练（最多2天）。</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2.熟悉场地时应严格遵守相关要求，严禁拥挤、喧哗，避免发生意外事故。</w:t>
      </w:r>
    </w:p>
    <w:p>
      <w:pPr>
        <w:snapToGrid w:val="0"/>
        <w:spacing w:line="500" w:lineRule="exact"/>
        <w:ind w:firstLine="600"/>
        <w:jc w:val="left"/>
        <w:rPr>
          <w:rFonts w:ascii="华文楷体" w:hAnsi="华文楷体" w:eastAsia="华文楷体"/>
          <w:b/>
          <w:bCs/>
          <w:color w:val="auto"/>
          <w:sz w:val="30"/>
        </w:rPr>
      </w:pPr>
      <w:r>
        <w:rPr>
          <w:rFonts w:hint="eastAsia" w:ascii="华文楷体" w:hAnsi="华文楷体" w:eastAsia="华文楷体"/>
          <w:b/>
          <w:bCs/>
          <w:color w:val="auto"/>
          <w:sz w:val="30"/>
        </w:rPr>
        <w:t>（二）文明参赛要求</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1.竞赛所用的相关设备、仪器、工量刃具、比赛服装等由大赛执委会统一提供。如需选手自带物品，物品清单赛前随样题公布。</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2.参赛选手至少在比赛开始前30分钟到达指定地点检录，接受工作人员对身份、资格和证件的检查。竞赛计时开始时，选手未到的视为自动放弃。</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3.比赛用仪器设备、赛位由抽签确定，不得擅自变更、调整。</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4.选手在竞赛过程中不得擅自离开赛场，如有特殊情况，须经裁判同意。选手休息、饮水、上洗手间等耗费的时间，统一计在竞赛时间内。竞赛计时以赛场设置的时钟为准。</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5.竞赛期间，选手不得将手机等通信工具带入赛场。非同组选手之间不得以任何方式传递信息，如传递纸条，用手势表达，使用暗语等。</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6.赛场内禁止喧哗，不得有影响其他选手完成工作任务的行为。</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7.爱护赛场提供的器材，不得移动赛场内台桌、设备和其他物品的位置，不得故意损坏设备和仪器；比赛过程中，参赛选手须严格遵守相关操作规程，确保人身及设备安全，并接受裁判员的监督和警示。</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8.比赛过程中，不得与非同组选手讨论，不得旁窥其他选手的操作。</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9.有事应先举手示意并与裁判人员协商，尊重裁判人员的意见。</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10.参赛选手应在赛位的计算机上规定的文件夹内存储比赛文档。</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11.比赛过程中，选手因个人错误操作造成人身安全事故和设备故障时，裁判长有权中止该队比赛；如非选手个人原因出现设备故障而无法比赛，由裁判长做出调整(调换到备用赛位或调整至最后一场次参加比赛)；如裁判长确认设备故障可由技术支持人员排除故障后继续比赛，排除故障时间不计入比赛用时。</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12.参赛队需提前结束竞赛，应举手向裁判员示意，由裁判员记录比赛结束时间。参赛队结束比赛后不得再进行任何操作。</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13.选手须按照要求提交比赛结果，配合裁判做好赛场情况记录，并与裁判一起签字确认，不得拒签。</w:t>
      </w:r>
    </w:p>
    <w:p>
      <w:pPr>
        <w:snapToGrid w:val="0"/>
        <w:spacing w:line="500" w:lineRule="exact"/>
        <w:ind w:firstLine="600"/>
        <w:rPr>
          <w:rFonts w:ascii="仿宋_GB2312" w:hAnsi="仿宋_GB2312" w:eastAsia="仿宋_GB2312"/>
          <w:color w:val="auto"/>
          <w:sz w:val="30"/>
        </w:rPr>
      </w:pPr>
      <w:bookmarkStart w:id="0" w:name="_GoBack"/>
      <w:bookmarkEnd w:id="0"/>
      <w:r>
        <w:rPr>
          <w:rFonts w:hint="eastAsia" w:ascii="仿宋_GB2312" w:hAnsi="仿宋_GB2312" w:eastAsia="仿宋_GB2312"/>
          <w:color w:val="auto"/>
          <w:sz w:val="30"/>
        </w:rPr>
        <w:t>14.竞赛结束后选手应先到指定地点，待工作人员宣布竞赛结束，方可离开。</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15.比赛过程中，所有比赛任务由选手自行完成，如有比赛任务不能自行完成，选手可以提出弃权，弃权部分不得分。</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16.不乱摆放工具，不乱丢杂物，完成工作任务后应清洁赛位，整理工量刃具，废弃物品等不得遗留在赛位上。</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17.文明用语，尊重裁判和其他选手。</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18.任何人不得以任何方式暗示、指导、帮助参赛选手。</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19.比赛过程中，除参加当场次比赛的选手、执行裁判员、现场工作人员和经批准的人员外，其他人员一律不得进入比赛现场；比赛结束后，参赛人员应根据指令及时退出比赛现场。</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20.裁判长在比赛结束前15分钟提醒选手。裁判长发布比赛结束指令后所有参赛队应立即停止操作，按要求清理赛位，不得以任何理由拖延。</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21.参赛选手须经现场裁判员检查许可后方能离开赛场。选手不得将竞赛任务书、图纸、草稿纸和工具等与比赛有关的物品带离赛场。</w:t>
      </w:r>
    </w:p>
    <w:p>
      <w:pPr>
        <w:snapToGrid w:val="0"/>
        <w:spacing w:line="500" w:lineRule="exact"/>
        <w:ind w:firstLine="600"/>
        <w:jc w:val="left"/>
        <w:rPr>
          <w:rFonts w:ascii="华文楷体" w:hAnsi="华文楷体" w:eastAsia="华文楷体"/>
          <w:b/>
          <w:bCs/>
          <w:color w:val="auto"/>
          <w:sz w:val="30"/>
        </w:rPr>
      </w:pPr>
      <w:r>
        <w:rPr>
          <w:rFonts w:hint="eastAsia" w:ascii="华文楷体" w:hAnsi="华文楷体" w:eastAsia="华文楷体"/>
          <w:b/>
          <w:bCs/>
          <w:color w:val="auto"/>
          <w:sz w:val="30"/>
        </w:rPr>
        <w:t>（三）成绩评定及公布</w:t>
      </w:r>
    </w:p>
    <w:p>
      <w:pPr>
        <w:snapToGrid w:val="0"/>
        <w:spacing w:line="500" w:lineRule="exact"/>
        <w:ind w:firstLine="600"/>
        <w:rPr>
          <w:rFonts w:ascii="仿宋_GB2312" w:hAnsi="仿宋_GB2312" w:eastAsia="仿宋_GB2312"/>
          <w:b/>
          <w:bCs/>
          <w:color w:val="auto"/>
          <w:sz w:val="30"/>
        </w:rPr>
      </w:pPr>
      <w:r>
        <w:rPr>
          <w:rFonts w:hint="eastAsia" w:ascii="仿宋_GB2312" w:hAnsi="仿宋_GB2312" w:eastAsia="仿宋_GB2312"/>
          <w:b/>
          <w:bCs/>
          <w:color w:val="auto"/>
          <w:sz w:val="30"/>
        </w:rPr>
        <w:t>1.组织分工</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在赛项执委会的领导下成立检录组、裁判组和仲裁组。</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（1）检录工作人员负责对参赛队伍（选手）进行点名登记、身份核对等工作。检录工作由赛项承办院校工作人员承担。</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（2）裁判组实行“裁判长负责制”。裁判组设裁判长1名，全面负责赛项的裁判管理工作并处理比赛中出现的争议问题。</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3）裁判员根据比赛需要分为加密裁判、现场裁判和评分裁判。加密裁判负责组织参赛队伍（选手）抽签，对参赛队信息、抽签代码、比赛作品等进行加密，加密裁判不参与评分工作。现场裁判按规定做好赛场记录，维护赛场纪律，评定参赛队的现场得分。评分裁判负责对参赛队伍（选手）的比赛任务完成、比赛表现按赛项评分标准进行评定。</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（4）仲裁组负责接受由参赛队领队提出的仲裁申诉，组织复议并公布复议结果。</w:t>
      </w:r>
    </w:p>
    <w:p>
      <w:pPr>
        <w:snapToGrid w:val="0"/>
        <w:spacing w:line="500" w:lineRule="exact"/>
        <w:ind w:firstLine="600"/>
        <w:rPr>
          <w:rFonts w:ascii="仿宋_GB2312" w:hAnsi="仿宋_GB2312" w:eastAsia="仿宋_GB2312"/>
          <w:b/>
          <w:bCs/>
          <w:color w:val="auto"/>
          <w:sz w:val="30"/>
        </w:rPr>
      </w:pPr>
      <w:r>
        <w:rPr>
          <w:rFonts w:hint="eastAsia" w:ascii="仿宋_GB2312" w:hAnsi="仿宋_GB2312" w:eastAsia="仿宋_GB2312"/>
          <w:b/>
          <w:bCs/>
          <w:color w:val="auto"/>
          <w:sz w:val="30"/>
        </w:rPr>
        <w:t>2.成绩评分</w:t>
      </w:r>
    </w:p>
    <w:p>
      <w:pPr>
        <w:snapToGrid w:val="0"/>
        <w:spacing w:line="500" w:lineRule="exact"/>
        <w:ind w:firstLine="600"/>
        <w:rPr>
          <w:rFonts w:ascii="仿宋_GB2312" w:hAnsi="仿宋_GB2312" w:eastAsia="仿宋_GB2312"/>
          <w:b/>
          <w:bCs/>
          <w:color w:val="auto"/>
          <w:sz w:val="30"/>
        </w:rPr>
      </w:pPr>
      <w:r>
        <w:rPr>
          <w:rFonts w:hint="eastAsia" w:ascii="仿宋_GB2312" w:hAnsi="仿宋_GB2312" w:eastAsia="仿宋_GB2312"/>
          <w:b/>
          <w:bCs/>
          <w:color w:val="auto"/>
          <w:sz w:val="30"/>
        </w:rPr>
        <w:t>（1）结果评分</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评分裁判依据赛项评价标准对参赛队伍提交的竞赛作品进行评判。</w:t>
      </w:r>
    </w:p>
    <w:p>
      <w:pPr>
        <w:snapToGrid w:val="0"/>
        <w:spacing w:line="500" w:lineRule="exact"/>
        <w:ind w:firstLine="600"/>
        <w:rPr>
          <w:rFonts w:ascii="仿宋_GB2312" w:hAnsi="仿宋_GB2312" w:eastAsia="仿宋_GB2312"/>
          <w:b/>
          <w:bCs/>
          <w:color w:val="auto"/>
          <w:sz w:val="30"/>
        </w:rPr>
      </w:pPr>
      <w:r>
        <w:rPr>
          <w:rFonts w:hint="eastAsia" w:ascii="仿宋_GB2312" w:hAnsi="仿宋_GB2312" w:eastAsia="仿宋_GB2312"/>
          <w:b/>
          <w:bCs/>
          <w:color w:val="auto"/>
          <w:sz w:val="30"/>
        </w:rPr>
        <w:t>（2）抽检复核</w:t>
      </w:r>
    </w:p>
    <w:p>
      <w:pPr>
        <w:snapToGrid w:val="0"/>
        <w:spacing w:line="500" w:lineRule="exact"/>
        <w:ind w:firstLine="600"/>
        <w:rPr>
          <w:rFonts w:ascii="仿宋_GB2312" w:hAnsi="仿宋_GB2312" w:eastAsia="仿宋_GB2312"/>
          <w:color w:val="auto"/>
          <w:sz w:val="30"/>
        </w:rPr>
      </w:pPr>
      <w:r>
        <w:rPr>
          <w:rFonts w:hint="eastAsia" w:ascii="仿宋_GB2312" w:hAnsi="仿宋_GB2312" w:eastAsia="仿宋_GB2312"/>
          <w:color w:val="auto"/>
          <w:sz w:val="30"/>
        </w:rPr>
        <w:t>为保障成绩统计的准确性，执委会对赛项总成绩进行抽检复核。错误率超过5%的，则认定为非小概率事件，裁判组需对所有成绩进行复核。</w:t>
      </w:r>
    </w:p>
    <w:p>
      <w:pPr>
        <w:snapToGrid w:val="0"/>
        <w:spacing w:line="540" w:lineRule="exact"/>
        <w:ind w:firstLine="602" w:firstLineChars="200"/>
        <w:rPr>
          <w:rFonts w:ascii="Arial Narrow" w:hAnsi="Arial Narrow" w:eastAsia="仿宋_GB2312" w:cs="Arial"/>
          <w:b/>
          <w:bCs/>
          <w:color w:val="auto"/>
          <w:sz w:val="30"/>
          <w:szCs w:val="30"/>
        </w:rPr>
      </w:pPr>
      <w:r>
        <w:rPr>
          <w:rFonts w:hint="eastAsia" w:ascii="Arial Narrow" w:hAnsi="Arial Narrow" w:eastAsia="仿宋_GB2312" w:cs="Arial"/>
          <w:b/>
          <w:bCs/>
          <w:color w:val="auto"/>
          <w:sz w:val="30"/>
          <w:szCs w:val="30"/>
        </w:rPr>
        <w:t>六、技术规范</w:t>
      </w:r>
    </w:p>
    <w:p>
      <w:pPr>
        <w:snapToGrid w:val="0"/>
        <w:spacing w:line="540" w:lineRule="exact"/>
        <w:ind w:firstLine="600" w:firstLineChars="200"/>
        <w:rPr>
          <w:rFonts w:ascii="Arial Narrow" w:hAnsi="Arial Narrow" w:eastAsia="仿宋_GB2312" w:cs="Arial"/>
          <w:color w:val="auto"/>
          <w:sz w:val="30"/>
          <w:szCs w:val="30"/>
        </w:rPr>
      </w:pPr>
      <w:r>
        <w:rPr>
          <w:rFonts w:hint="eastAsia" w:ascii="Arial Narrow" w:hAnsi="Arial Narrow" w:eastAsia="仿宋_GB2312" w:cs="Arial"/>
          <w:color w:val="auto"/>
          <w:sz w:val="30"/>
          <w:szCs w:val="30"/>
        </w:rPr>
        <w:t>指本赛项所属产业或覆盖行业中已经颁布实施、处在有效期内的标准与规范。引用的国际、国家、行业技术、职业资格标准与规范应书写完整的名称及代码；业内公认的设备使用与操作规范、操控人员应具备的基础技术、知识与技能、生产工艺等要求应作详细的描述。</w:t>
      </w:r>
    </w:p>
    <w:p>
      <w:pPr>
        <w:snapToGrid w:val="0"/>
        <w:spacing w:line="540" w:lineRule="exact"/>
        <w:ind w:firstLine="602" w:firstLineChars="200"/>
        <w:rPr>
          <w:rFonts w:hint="eastAsia" w:ascii="Arial Narrow" w:hAnsi="Arial Narrow" w:eastAsia="仿宋_GB2312" w:cs="Arial"/>
          <w:b/>
          <w:bCs/>
          <w:color w:val="auto"/>
          <w:sz w:val="30"/>
          <w:szCs w:val="30"/>
        </w:rPr>
      </w:pPr>
    </w:p>
    <w:p>
      <w:pPr>
        <w:snapToGrid w:val="0"/>
        <w:spacing w:line="540" w:lineRule="exact"/>
        <w:ind w:firstLine="602" w:firstLineChars="200"/>
        <w:rPr>
          <w:rFonts w:ascii="Arial Narrow" w:hAnsi="Arial Narrow" w:eastAsia="仿宋_GB2312" w:cs="Arial"/>
          <w:b/>
          <w:bCs/>
          <w:color w:val="auto"/>
          <w:sz w:val="30"/>
          <w:szCs w:val="30"/>
        </w:rPr>
      </w:pPr>
      <w:r>
        <w:rPr>
          <w:rFonts w:hint="eastAsia" w:ascii="Arial Narrow" w:hAnsi="Arial Narrow" w:eastAsia="仿宋_GB2312" w:cs="Arial"/>
          <w:b/>
          <w:bCs/>
          <w:color w:val="auto"/>
          <w:sz w:val="30"/>
          <w:szCs w:val="30"/>
        </w:rPr>
        <w:t>七、技术平台</w:t>
      </w:r>
    </w:p>
    <w:p>
      <w:pPr>
        <w:widowControl/>
        <w:spacing w:line="560" w:lineRule="exact"/>
        <w:ind w:firstLine="600"/>
        <w:jc w:val="left"/>
        <w:rPr>
          <w:rFonts w:ascii="华文楷体" w:hAnsi="华文楷体" w:eastAsia="华文楷体"/>
          <w:b/>
          <w:bCs/>
          <w:color w:val="auto"/>
          <w:sz w:val="28"/>
          <w:szCs w:val="28"/>
        </w:rPr>
      </w:pPr>
      <w:r>
        <w:rPr>
          <w:rFonts w:hint="eastAsia" w:ascii="华文楷体" w:hAnsi="华文楷体" w:eastAsia="华文楷体"/>
          <w:b/>
          <w:bCs/>
          <w:color w:val="auto"/>
          <w:sz w:val="28"/>
          <w:szCs w:val="28"/>
        </w:rPr>
        <w:t>（一）主要硬件技术规格</w:t>
      </w:r>
    </w:p>
    <w:tbl>
      <w:tblPr>
        <w:tblStyle w:val="5"/>
        <w:tblW w:w="8781" w:type="dxa"/>
        <w:jc w:val="center"/>
        <w:tblLayout w:type="fixed"/>
        <w:tblCellMar>
          <w:top w:w="0" w:type="dxa"/>
          <w:left w:w="108" w:type="dxa"/>
          <w:bottom w:w="0" w:type="dxa"/>
          <w:right w:w="108" w:type="dxa"/>
        </w:tblCellMar>
      </w:tblPr>
      <w:tblGrid>
        <w:gridCol w:w="716"/>
        <w:gridCol w:w="2182"/>
        <w:gridCol w:w="4936"/>
        <w:gridCol w:w="947"/>
      </w:tblGrid>
      <w:tr>
        <w:tblPrEx>
          <w:tblCellMar>
            <w:top w:w="0" w:type="dxa"/>
            <w:left w:w="108" w:type="dxa"/>
            <w:bottom w:w="0" w:type="dxa"/>
            <w:right w:w="108" w:type="dxa"/>
          </w:tblCellMar>
        </w:tblPrEx>
        <w:trPr>
          <w:trHeight w:val="454"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color w:val="auto"/>
                <w:sz w:val="24"/>
              </w:rPr>
            </w:pPr>
            <w:r>
              <w:rPr>
                <w:rFonts w:hint="eastAsia" w:ascii="仿宋_GB2312" w:hAnsi="华文中宋" w:eastAsia="仿宋_GB2312"/>
                <w:b/>
                <w:bCs/>
                <w:color w:val="auto"/>
                <w:sz w:val="24"/>
              </w:rPr>
              <w:t>序号</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color w:val="auto"/>
                <w:sz w:val="24"/>
              </w:rPr>
            </w:pPr>
            <w:r>
              <w:rPr>
                <w:rFonts w:hint="eastAsia" w:ascii="仿宋_GB2312" w:hAnsi="华文中宋" w:eastAsia="仿宋_GB2312"/>
                <w:b/>
                <w:bCs/>
                <w:color w:val="auto"/>
                <w:sz w:val="24"/>
              </w:rPr>
              <w:t>器材名称</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color w:val="auto"/>
                <w:sz w:val="24"/>
              </w:rPr>
            </w:pPr>
            <w:r>
              <w:rPr>
                <w:rFonts w:hint="eastAsia" w:ascii="仿宋_GB2312" w:hAnsi="华文中宋" w:eastAsia="仿宋_GB2312"/>
                <w:b/>
                <w:bCs/>
                <w:color w:val="auto"/>
                <w:sz w:val="24"/>
              </w:rPr>
              <w:t>规格/技术参数</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color w:val="auto"/>
                <w:sz w:val="24"/>
              </w:rPr>
            </w:pPr>
            <w:r>
              <w:rPr>
                <w:rFonts w:hint="eastAsia" w:ascii="仿宋_GB2312" w:hAnsi="华文中宋" w:eastAsia="仿宋_GB2312"/>
                <w:b/>
                <w:bCs/>
                <w:color w:val="auto"/>
                <w:sz w:val="24"/>
              </w:rPr>
              <w:t>数量</w:t>
            </w:r>
          </w:p>
        </w:tc>
      </w:tr>
      <w:tr>
        <w:tblPrEx>
          <w:tblCellMar>
            <w:top w:w="0" w:type="dxa"/>
            <w:left w:w="108" w:type="dxa"/>
            <w:bottom w:w="0" w:type="dxa"/>
            <w:right w:w="108" w:type="dxa"/>
          </w:tblCellMar>
        </w:tblPrEx>
        <w:trPr>
          <w:trHeight w:val="691"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color w:val="auto"/>
                <w:sz w:val="24"/>
              </w:rPr>
            </w:pPr>
            <w:r>
              <w:rPr>
                <w:rFonts w:hint="eastAsia" w:ascii="仿宋_GB2312" w:hAnsi="华文中宋" w:eastAsia="仿宋_GB2312"/>
                <w:color w:val="auto"/>
                <w:sz w:val="24"/>
              </w:rPr>
              <w:t>1</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color w:val="auto"/>
                <w:sz w:val="24"/>
              </w:rPr>
            </w:pPr>
            <w:r>
              <w:rPr>
                <w:rFonts w:hint="eastAsia" w:ascii="仿宋_GB2312" w:hAnsi="仿宋" w:eastAsia="仿宋_GB2312"/>
                <w:color w:val="auto"/>
                <w:sz w:val="24"/>
              </w:rPr>
              <w:t>计算机</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rPr>
                <w:rFonts w:ascii="仿宋_GB2312" w:hAnsi="华文中宋" w:eastAsia="仿宋_GB2312"/>
                <w:color w:val="auto"/>
                <w:sz w:val="24"/>
              </w:rPr>
            </w:pPr>
            <w:r>
              <w:rPr>
                <w:rFonts w:hint="eastAsia" w:ascii="仿宋_GB2312" w:hAnsi="仿宋" w:eastAsia="仿宋_GB2312"/>
                <w:color w:val="auto"/>
                <w:sz w:val="24"/>
              </w:rPr>
              <w:t>每个工位配备两台，基本配置处理器Intel酷睿i7内存≥8G ，硬盘≥100G ，独立显卡4G，19寸及以上显示器</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color w:val="auto"/>
                <w:sz w:val="24"/>
              </w:rPr>
            </w:pPr>
            <w:r>
              <w:rPr>
                <w:rFonts w:hint="eastAsia" w:ascii="仿宋_GB2312" w:hAnsi="华文中宋" w:eastAsia="仿宋_GB2312"/>
                <w:color w:val="auto"/>
                <w:sz w:val="24"/>
                <w:lang w:val="en-US" w:eastAsia="zh-CN"/>
              </w:rPr>
              <w:t>15</w:t>
            </w:r>
            <w:r>
              <w:rPr>
                <w:rFonts w:hint="eastAsia" w:ascii="仿宋_GB2312" w:hAnsi="华文中宋" w:eastAsia="仿宋_GB2312"/>
                <w:color w:val="auto"/>
                <w:sz w:val="24"/>
              </w:rPr>
              <w:t>台</w:t>
            </w:r>
          </w:p>
        </w:tc>
      </w:tr>
      <w:tr>
        <w:tblPrEx>
          <w:tblCellMar>
            <w:top w:w="0" w:type="dxa"/>
            <w:left w:w="108" w:type="dxa"/>
            <w:bottom w:w="0" w:type="dxa"/>
            <w:right w:w="108" w:type="dxa"/>
          </w:tblCellMar>
        </w:tblPrEx>
        <w:trPr>
          <w:trHeight w:val="552"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color w:val="auto"/>
                <w:sz w:val="24"/>
              </w:rPr>
            </w:pPr>
            <w:r>
              <w:rPr>
                <w:rFonts w:hint="eastAsia" w:ascii="仿宋_GB2312" w:hAnsi="华文中宋" w:eastAsia="仿宋_GB2312"/>
                <w:color w:val="auto"/>
                <w:sz w:val="24"/>
              </w:rPr>
              <w:t>2</w:t>
            </w:r>
          </w:p>
          <w:p>
            <w:pPr>
              <w:snapToGrid w:val="0"/>
              <w:jc w:val="center"/>
              <w:rPr>
                <w:rFonts w:ascii="宋体"/>
                <w:color w:val="auto"/>
                <w:sz w:val="24"/>
              </w:rPr>
            </w:pP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color w:val="auto"/>
                <w:sz w:val="24"/>
              </w:rPr>
            </w:pPr>
            <w:r>
              <w:rPr>
                <w:rFonts w:hint="eastAsia" w:ascii="仿宋_GB2312" w:hAnsi="仿宋" w:eastAsia="仿宋_GB2312"/>
                <w:color w:val="auto"/>
                <w:sz w:val="24"/>
              </w:rPr>
              <w:t>北京精雕集团</w:t>
            </w:r>
          </w:p>
          <w:p>
            <w:pPr>
              <w:snapToGrid w:val="0"/>
              <w:jc w:val="center"/>
              <w:rPr>
                <w:rFonts w:ascii="仿宋_GB2312" w:hAnsi="仿宋" w:eastAsia="仿宋_GB2312"/>
                <w:color w:val="auto"/>
                <w:sz w:val="24"/>
              </w:rPr>
            </w:pPr>
            <w:r>
              <w:rPr>
                <w:rFonts w:hint="eastAsia" w:ascii="仿宋_GB2312" w:hAnsi="仿宋" w:eastAsia="仿宋_GB2312"/>
                <w:color w:val="auto"/>
                <w:sz w:val="24"/>
              </w:rPr>
              <w:t>五轴精雕高速机</w:t>
            </w:r>
          </w:p>
          <w:p>
            <w:pPr>
              <w:snapToGrid w:val="0"/>
              <w:jc w:val="center"/>
              <w:rPr>
                <w:rFonts w:ascii="仿宋_GB2312" w:hAnsi="仿宋" w:eastAsia="仿宋_GB2312"/>
                <w:color w:val="auto"/>
                <w:sz w:val="24"/>
              </w:rPr>
            </w:pPr>
            <w:r>
              <w:rPr>
                <w:rFonts w:hint="eastAsia" w:ascii="仿宋_GB2312" w:hAnsi="仿宋" w:eastAsia="仿宋_GB2312"/>
                <w:color w:val="auto"/>
                <w:sz w:val="24"/>
              </w:rPr>
              <w:t>JDGR400</w:t>
            </w:r>
            <w:r>
              <w:rPr>
                <w:rFonts w:hint="eastAsia" w:ascii="仿宋_GB2312" w:hAnsi="仿宋" w:eastAsia="仿宋_GB2312"/>
                <w:color w:val="auto"/>
                <w:sz w:val="24"/>
                <w:lang w:val="en-US" w:eastAsia="zh-CN"/>
              </w:rPr>
              <w:t>T（P15SHA）</w:t>
            </w:r>
          </w:p>
          <w:p>
            <w:pPr>
              <w:snapToGrid w:val="0"/>
              <w:jc w:val="center"/>
              <w:rPr>
                <w:rFonts w:ascii="宋体"/>
                <w:color w:val="auto"/>
                <w:sz w:val="24"/>
              </w:rPr>
            </w:pP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tabs>
                <w:tab w:val="left" w:pos="3777"/>
              </w:tabs>
              <w:jc w:val="left"/>
              <w:rPr>
                <w:rFonts w:ascii="仿宋" w:hAnsi="仿宋" w:eastAsia="仿宋"/>
                <w:color w:val="auto"/>
                <w:sz w:val="24"/>
              </w:rPr>
            </w:pPr>
            <w:r>
              <w:rPr>
                <w:rFonts w:hint="eastAsia" w:ascii="仿宋" w:hAnsi="仿宋" w:eastAsia="仿宋"/>
                <w:color w:val="auto"/>
                <w:sz w:val="24"/>
              </w:rPr>
              <w:t>X/Y/Z轴运动定位精度： 0.002/0.002/0.002mm</w:t>
            </w:r>
          </w:p>
          <w:p>
            <w:pPr>
              <w:widowControl/>
              <w:tabs>
                <w:tab w:val="left" w:pos="3777"/>
              </w:tabs>
              <w:jc w:val="left"/>
              <w:rPr>
                <w:rFonts w:ascii="仿宋" w:hAnsi="仿宋" w:eastAsia="仿宋"/>
                <w:color w:val="auto"/>
                <w:sz w:val="24"/>
              </w:rPr>
            </w:pPr>
            <w:r>
              <w:rPr>
                <w:rFonts w:hint="eastAsia" w:ascii="仿宋" w:hAnsi="仿宋" w:eastAsia="仿宋"/>
                <w:color w:val="auto"/>
                <w:sz w:val="24"/>
              </w:rPr>
              <w:t>A/C轴运动定位精度： 8"/8"</w:t>
            </w:r>
          </w:p>
          <w:p>
            <w:pPr>
              <w:widowControl/>
              <w:tabs>
                <w:tab w:val="left" w:pos="3777"/>
              </w:tabs>
              <w:jc w:val="left"/>
              <w:rPr>
                <w:rFonts w:ascii="仿宋" w:hAnsi="仿宋" w:eastAsia="仿宋"/>
                <w:color w:val="auto"/>
                <w:sz w:val="24"/>
              </w:rPr>
            </w:pPr>
            <w:r>
              <w:rPr>
                <w:rFonts w:hint="eastAsia" w:ascii="仿宋" w:hAnsi="仿宋" w:eastAsia="仿宋"/>
                <w:color w:val="auto"/>
                <w:sz w:val="24"/>
              </w:rPr>
              <w:t>X/Y/Z轴重复定位精度： 0.0018/0.0018/0.0018mm</w:t>
            </w:r>
          </w:p>
          <w:p>
            <w:pPr>
              <w:widowControl/>
              <w:tabs>
                <w:tab w:val="left" w:pos="3777"/>
              </w:tabs>
              <w:jc w:val="left"/>
              <w:rPr>
                <w:rFonts w:ascii="仿宋" w:hAnsi="仿宋" w:eastAsia="仿宋"/>
                <w:color w:val="auto"/>
                <w:sz w:val="24"/>
              </w:rPr>
            </w:pPr>
            <w:r>
              <w:rPr>
                <w:rFonts w:hint="eastAsia" w:ascii="仿宋" w:hAnsi="仿宋" w:eastAsia="仿宋"/>
                <w:color w:val="auto"/>
                <w:sz w:val="24"/>
              </w:rPr>
              <w:t>A/C轴重复定位精度： 5"/5"</w:t>
            </w:r>
          </w:p>
          <w:p>
            <w:pPr>
              <w:widowControl/>
              <w:tabs>
                <w:tab w:val="left" w:pos="3777"/>
              </w:tabs>
              <w:jc w:val="left"/>
              <w:rPr>
                <w:rFonts w:ascii="仿宋" w:hAnsi="仿宋" w:eastAsia="仿宋"/>
                <w:color w:val="auto"/>
                <w:sz w:val="24"/>
              </w:rPr>
            </w:pPr>
            <w:r>
              <w:rPr>
                <w:rFonts w:hint="eastAsia" w:ascii="仿宋" w:hAnsi="仿宋" w:eastAsia="仿宋"/>
                <w:color w:val="auto"/>
                <w:sz w:val="24"/>
              </w:rPr>
              <w:t>X/Y/Z轴工作行程： 450/700/400mm</w:t>
            </w:r>
          </w:p>
          <w:p>
            <w:pPr>
              <w:widowControl/>
              <w:tabs>
                <w:tab w:val="left" w:pos="3777"/>
              </w:tabs>
              <w:jc w:val="left"/>
              <w:rPr>
                <w:rFonts w:ascii="仿宋" w:hAnsi="仿宋" w:eastAsia="仿宋"/>
                <w:color w:val="auto"/>
                <w:sz w:val="24"/>
              </w:rPr>
            </w:pPr>
            <w:r>
              <w:rPr>
                <w:rFonts w:hint="eastAsia" w:ascii="仿宋" w:hAnsi="仿宋" w:eastAsia="仿宋"/>
                <w:color w:val="auto"/>
                <w:sz w:val="24"/>
              </w:rPr>
              <w:t>A/C轴回转角度： -120～90°/360°</w:t>
            </w:r>
          </w:p>
          <w:p>
            <w:pPr>
              <w:widowControl/>
              <w:tabs>
                <w:tab w:val="left" w:pos="3777"/>
              </w:tabs>
              <w:jc w:val="left"/>
              <w:rPr>
                <w:rFonts w:ascii="仿宋" w:hAnsi="仿宋" w:eastAsia="仿宋"/>
                <w:color w:val="auto"/>
                <w:sz w:val="24"/>
              </w:rPr>
            </w:pPr>
            <w:r>
              <w:rPr>
                <w:rFonts w:hint="eastAsia" w:ascii="仿宋" w:hAnsi="仿宋" w:eastAsia="仿宋"/>
                <w:color w:val="auto"/>
                <w:sz w:val="24"/>
              </w:rPr>
              <w:t>工作台尺寸： Φ400mm</w:t>
            </w:r>
          </w:p>
          <w:p>
            <w:pPr>
              <w:widowControl/>
              <w:tabs>
                <w:tab w:val="left" w:pos="3777"/>
              </w:tabs>
              <w:jc w:val="left"/>
              <w:rPr>
                <w:rFonts w:ascii="仿宋" w:hAnsi="仿宋" w:eastAsia="仿宋"/>
                <w:color w:val="auto"/>
                <w:sz w:val="24"/>
              </w:rPr>
            </w:pPr>
            <w:r>
              <w:rPr>
                <w:rFonts w:hint="eastAsia" w:ascii="仿宋" w:hAnsi="仿宋" w:eastAsia="仿宋"/>
                <w:color w:val="auto"/>
                <w:sz w:val="24"/>
              </w:rPr>
              <w:t>最大工作负载： 150Kg</w:t>
            </w:r>
          </w:p>
          <w:p>
            <w:pPr>
              <w:widowControl/>
              <w:tabs>
                <w:tab w:val="left" w:pos="3777"/>
              </w:tabs>
              <w:jc w:val="left"/>
              <w:rPr>
                <w:rFonts w:ascii="仿宋" w:hAnsi="仿宋" w:eastAsia="仿宋"/>
                <w:color w:val="auto"/>
                <w:sz w:val="24"/>
              </w:rPr>
            </w:pPr>
            <w:r>
              <w:rPr>
                <w:rFonts w:hint="eastAsia" w:ascii="仿宋" w:hAnsi="仿宋" w:eastAsia="仿宋"/>
                <w:color w:val="auto"/>
                <w:sz w:val="24"/>
              </w:rPr>
              <w:t>主轴最高转速： 20000rpm（Ф150）</w:t>
            </w:r>
          </w:p>
          <w:p>
            <w:pPr>
              <w:widowControl/>
              <w:tabs>
                <w:tab w:val="left" w:pos="3777"/>
              </w:tabs>
              <w:jc w:val="left"/>
              <w:rPr>
                <w:rFonts w:ascii="仿宋" w:hAnsi="仿宋" w:eastAsia="仿宋"/>
                <w:color w:val="auto"/>
                <w:sz w:val="24"/>
              </w:rPr>
            </w:pPr>
            <w:r>
              <w:rPr>
                <w:rFonts w:hint="eastAsia" w:ascii="仿宋" w:hAnsi="仿宋" w:eastAsia="仿宋"/>
                <w:color w:val="auto"/>
                <w:sz w:val="24"/>
              </w:rPr>
              <w:t>刀柄规格： HSK-A50</w:t>
            </w:r>
          </w:p>
          <w:p>
            <w:pPr>
              <w:widowControl/>
              <w:tabs>
                <w:tab w:val="left" w:pos="3777"/>
              </w:tabs>
              <w:jc w:val="left"/>
              <w:rPr>
                <w:rFonts w:ascii="仿宋" w:hAnsi="仿宋" w:eastAsia="仿宋"/>
                <w:color w:val="auto"/>
                <w:sz w:val="24"/>
              </w:rPr>
            </w:pPr>
            <w:r>
              <w:rPr>
                <w:rFonts w:hint="eastAsia" w:ascii="仿宋" w:hAnsi="仿宋" w:eastAsia="仿宋"/>
                <w:color w:val="auto"/>
                <w:sz w:val="24"/>
              </w:rPr>
              <w:t>X/Y/Z快速移动速度： 15m/min</w:t>
            </w:r>
          </w:p>
          <w:p>
            <w:pPr>
              <w:widowControl/>
              <w:tabs>
                <w:tab w:val="left" w:pos="3777"/>
              </w:tabs>
              <w:jc w:val="left"/>
              <w:rPr>
                <w:rFonts w:ascii="仿宋" w:hAnsi="仿宋" w:eastAsia="仿宋"/>
                <w:color w:val="auto"/>
                <w:sz w:val="24"/>
              </w:rPr>
            </w:pPr>
            <w:r>
              <w:rPr>
                <w:rFonts w:hint="eastAsia" w:ascii="仿宋" w:hAnsi="仿宋" w:eastAsia="仿宋"/>
                <w:color w:val="auto"/>
                <w:sz w:val="24"/>
              </w:rPr>
              <w:t>A/C轴快速旋转速度： 30/50rpm</w:t>
            </w:r>
          </w:p>
          <w:p>
            <w:pPr>
              <w:widowControl/>
              <w:tabs>
                <w:tab w:val="left" w:pos="3777"/>
              </w:tabs>
              <w:jc w:val="left"/>
              <w:rPr>
                <w:rFonts w:ascii="仿宋" w:hAnsi="仿宋" w:eastAsia="仿宋"/>
                <w:color w:val="auto"/>
                <w:sz w:val="24"/>
              </w:rPr>
            </w:pPr>
            <w:r>
              <w:rPr>
                <w:rFonts w:hint="eastAsia" w:ascii="仿宋" w:hAnsi="仿宋" w:eastAsia="仿宋"/>
                <w:color w:val="auto"/>
                <w:sz w:val="24"/>
              </w:rPr>
              <w:t>X/Y/Z最高切削进给速度： 10m/min</w:t>
            </w:r>
          </w:p>
          <w:p>
            <w:pPr>
              <w:widowControl/>
              <w:tabs>
                <w:tab w:val="left" w:pos="3777"/>
              </w:tabs>
              <w:jc w:val="left"/>
              <w:rPr>
                <w:rFonts w:ascii="仿宋" w:hAnsi="仿宋" w:eastAsia="仿宋"/>
                <w:color w:val="auto"/>
                <w:sz w:val="24"/>
              </w:rPr>
            </w:pPr>
            <w:r>
              <w:rPr>
                <w:rFonts w:hint="eastAsia" w:ascii="仿宋" w:hAnsi="仿宋" w:eastAsia="仿宋"/>
                <w:color w:val="auto"/>
                <w:sz w:val="24"/>
              </w:rPr>
              <w:t>A/C轴最高切削进给速度： 15/25rpm</w:t>
            </w:r>
          </w:p>
          <w:p>
            <w:pPr>
              <w:widowControl/>
              <w:tabs>
                <w:tab w:val="left" w:pos="3777"/>
              </w:tabs>
              <w:jc w:val="left"/>
              <w:rPr>
                <w:rFonts w:ascii="仿宋" w:hAnsi="仿宋" w:eastAsia="仿宋"/>
                <w:color w:val="auto"/>
                <w:sz w:val="24"/>
              </w:rPr>
            </w:pPr>
            <w:r>
              <w:rPr>
                <w:rFonts w:hint="eastAsia" w:ascii="仿宋" w:hAnsi="仿宋" w:eastAsia="仿宋"/>
                <w:color w:val="auto"/>
                <w:sz w:val="24"/>
              </w:rPr>
              <w:t>工作电压： 三相380V/50Hz</w:t>
            </w:r>
          </w:p>
          <w:p>
            <w:pPr>
              <w:widowControl/>
              <w:tabs>
                <w:tab w:val="left" w:pos="3777"/>
              </w:tabs>
              <w:jc w:val="left"/>
              <w:rPr>
                <w:rFonts w:ascii="仿宋" w:hAnsi="仿宋" w:eastAsia="仿宋"/>
                <w:color w:val="auto"/>
                <w:sz w:val="24"/>
              </w:rPr>
            </w:pPr>
            <w:r>
              <w:rPr>
                <w:rFonts w:hint="eastAsia" w:ascii="仿宋" w:hAnsi="仿宋" w:eastAsia="仿宋"/>
                <w:color w:val="auto"/>
                <w:sz w:val="24"/>
              </w:rPr>
              <w:t>驱动系统： 交流伺服</w:t>
            </w:r>
          </w:p>
          <w:p>
            <w:pPr>
              <w:widowControl/>
              <w:tabs>
                <w:tab w:val="left" w:pos="3777"/>
              </w:tabs>
              <w:jc w:val="left"/>
              <w:rPr>
                <w:rFonts w:ascii="仿宋" w:hAnsi="仿宋" w:eastAsia="仿宋"/>
                <w:color w:val="auto"/>
                <w:sz w:val="24"/>
              </w:rPr>
            </w:pPr>
            <w:r>
              <w:rPr>
                <w:rFonts w:hint="eastAsia" w:ascii="仿宋" w:hAnsi="仿宋" w:eastAsia="仿宋"/>
                <w:color w:val="auto"/>
                <w:sz w:val="24"/>
              </w:rPr>
              <w:t>气源压力： ≥0.52MPa</w:t>
            </w:r>
          </w:p>
          <w:p>
            <w:pPr>
              <w:widowControl/>
              <w:tabs>
                <w:tab w:val="left" w:pos="3777"/>
              </w:tabs>
              <w:jc w:val="left"/>
              <w:rPr>
                <w:rFonts w:ascii="仿宋" w:hAnsi="仿宋" w:eastAsia="仿宋"/>
                <w:color w:val="auto"/>
                <w:sz w:val="24"/>
              </w:rPr>
            </w:pPr>
            <w:r>
              <w:rPr>
                <w:rFonts w:hint="eastAsia" w:ascii="仿宋" w:hAnsi="仿宋" w:eastAsia="仿宋"/>
                <w:color w:val="auto"/>
                <w:sz w:val="24"/>
              </w:rPr>
              <w:t>机床总重： 10000Kg</w:t>
            </w:r>
          </w:p>
          <w:p>
            <w:pPr>
              <w:widowControl/>
              <w:tabs>
                <w:tab w:val="left" w:pos="3777"/>
              </w:tabs>
              <w:jc w:val="left"/>
              <w:rPr>
                <w:rFonts w:ascii="仿宋" w:hAnsi="仿宋" w:eastAsia="仿宋"/>
                <w:color w:val="auto"/>
                <w:sz w:val="24"/>
              </w:rPr>
            </w:pPr>
            <w:r>
              <w:rPr>
                <w:rFonts w:hint="eastAsia" w:ascii="仿宋" w:hAnsi="仿宋" w:eastAsia="仿宋"/>
                <w:color w:val="auto"/>
                <w:sz w:val="24"/>
              </w:rPr>
              <w:t>数控系统： 国产JD50数控系统</w:t>
            </w:r>
          </w:p>
          <w:p>
            <w:pPr>
              <w:widowControl/>
              <w:tabs>
                <w:tab w:val="left" w:pos="3777"/>
              </w:tabs>
              <w:jc w:val="left"/>
              <w:rPr>
                <w:rFonts w:hint="default" w:ascii="仿宋" w:hAnsi="仿宋" w:eastAsia="仿宋"/>
                <w:color w:val="auto"/>
                <w:sz w:val="24"/>
                <w:lang w:val="en-US" w:eastAsia="zh-CN"/>
              </w:rPr>
            </w:pPr>
            <w:r>
              <w:rPr>
                <w:rFonts w:hint="eastAsia" w:ascii="仿宋" w:hAnsi="仿宋" w:eastAsia="仿宋"/>
                <w:color w:val="auto"/>
                <w:sz w:val="24"/>
              </w:rPr>
              <w:t>对刀仪： 配备</w:t>
            </w:r>
            <w:r>
              <w:rPr>
                <w:rFonts w:hint="eastAsia" w:ascii="仿宋" w:hAnsi="仿宋" w:eastAsia="仿宋"/>
                <w:color w:val="auto"/>
                <w:sz w:val="24"/>
                <w:lang w:val="en-US" w:eastAsia="zh-CN"/>
              </w:rPr>
              <w:t>接触式</w:t>
            </w:r>
            <w:r>
              <w:rPr>
                <w:rFonts w:hint="eastAsia" w:ascii="仿宋" w:hAnsi="仿宋" w:eastAsia="仿宋"/>
                <w:color w:val="auto"/>
                <w:sz w:val="24"/>
              </w:rPr>
              <w:t>自动对刀仪</w:t>
            </w:r>
            <w:r>
              <w:rPr>
                <w:rFonts w:hint="eastAsia" w:ascii="仿宋" w:hAnsi="仿宋" w:eastAsia="仿宋"/>
                <w:color w:val="auto"/>
                <w:sz w:val="24"/>
                <w:lang w:val="en-US" w:eastAsia="zh-CN"/>
              </w:rPr>
              <w:t>及激光对刀仪</w:t>
            </w:r>
          </w:p>
          <w:p>
            <w:pPr>
              <w:widowControl/>
              <w:tabs>
                <w:tab w:val="left" w:pos="3777"/>
              </w:tabs>
              <w:jc w:val="left"/>
              <w:rPr>
                <w:rFonts w:ascii="仿宋_GB2312" w:hAnsi="仿宋" w:eastAsia="仿宋_GB2312"/>
                <w:color w:val="auto"/>
                <w:sz w:val="24"/>
              </w:rPr>
            </w:pPr>
            <w:r>
              <w:rPr>
                <w:rFonts w:hint="eastAsia" w:ascii="仿宋" w:hAnsi="仿宋" w:eastAsia="仿宋"/>
                <w:color w:val="auto"/>
                <w:sz w:val="24"/>
              </w:rPr>
              <w:t>精雕在机测量系统：</w:t>
            </w:r>
            <w:r>
              <w:rPr>
                <w:rFonts w:hint="eastAsia" w:ascii="仿宋" w:hAnsi="仿宋" w:eastAsia="仿宋"/>
                <w:color w:val="auto"/>
                <w:sz w:val="24"/>
                <w:lang w:val="en-US" w:eastAsia="zh-CN"/>
              </w:rPr>
              <w:t>配置</w:t>
            </w:r>
            <w:r>
              <w:rPr>
                <w:rFonts w:hint="eastAsia" w:ascii="仿宋" w:hAnsi="仿宋" w:eastAsia="仿宋"/>
                <w:color w:val="auto"/>
                <w:sz w:val="24"/>
              </w:rPr>
              <w:t>雷尼绍在机测量系统，可以实现“在机测量和智能修正”功能。</w:t>
            </w:r>
          </w:p>
          <w:p>
            <w:pPr>
              <w:widowControl/>
              <w:tabs>
                <w:tab w:val="left" w:pos="3777"/>
              </w:tabs>
              <w:jc w:val="left"/>
              <w:rPr>
                <w:rFonts w:ascii="仿宋" w:hAnsi="仿宋" w:eastAsia="仿宋"/>
                <w:color w:val="auto"/>
                <w:sz w:val="24"/>
              </w:rPr>
            </w:pPr>
            <w:r>
              <w:rPr>
                <w:rFonts w:hint="eastAsia" w:ascii="仿宋" w:hAnsi="仿宋" w:eastAsia="仿宋"/>
                <w:color w:val="auto"/>
                <w:sz w:val="24"/>
              </w:rPr>
              <w:t>①测量系统：包括增加测头接口、软件升级、刀库改造、测头刀柄等内容。</w:t>
            </w:r>
          </w:p>
          <w:p>
            <w:pPr>
              <w:widowControl/>
              <w:tabs>
                <w:tab w:val="left" w:pos="3777"/>
              </w:tabs>
              <w:jc w:val="left"/>
              <w:rPr>
                <w:rFonts w:ascii="仿宋_GB2312" w:hAnsi="仿宋" w:eastAsia="仿宋_GB2312"/>
                <w:color w:val="auto"/>
                <w:sz w:val="24"/>
              </w:rPr>
            </w:pPr>
            <w:r>
              <w:rPr>
                <w:rFonts w:hint="eastAsia" w:ascii="仿宋" w:hAnsi="仿宋" w:eastAsia="仿宋"/>
                <w:color w:val="auto"/>
                <w:sz w:val="24"/>
              </w:rPr>
              <w:t>②雷尼绍OMP40-2测头及接收器：项目包括测头、接收器、接收器支架、线缆护管及测针1支。</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color w:val="auto"/>
                <w:sz w:val="24"/>
              </w:rPr>
            </w:pPr>
            <w:r>
              <w:rPr>
                <w:rFonts w:hint="eastAsia" w:ascii="仿宋_GB2312" w:hAnsi="仿宋" w:eastAsia="仿宋_GB2312"/>
                <w:color w:val="auto"/>
                <w:sz w:val="24"/>
              </w:rPr>
              <w:t>1</w:t>
            </w:r>
            <w:r>
              <w:rPr>
                <w:rFonts w:ascii="仿宋_GB2312" w:hAnsi="仿宋" w:eastAsia="仿宋_GB2312"/>
                <w:color w:val="auto"/>
                <w:sz w:val="24"/>
              </w:rPr>
              <w:t>5</w:t>
            </w:r>
            <w:r>
              <w:rPr>
                <w:rFonts w:hint="eastAsia" w:ascii="仿宋_GB2312" w:hAnsi="仿宋" w:eastAsia="仿宋_GB2312"/>
                <w:color w:val="auto"/>
                <w:sz w:val="24"/>
              </w:rPr>
              <w:t>台</w:t>
            </w:r>
          </w:p>
          <w:p>
            <w:pPr>
              <w:snapToGrid w:val="0"/>
              <w:jc w:val="center"/>
              <w:rPr>
                <w:rFonts w:ascii="宋体"/>
                <w:color w:val="auto"/>
                <w:sz w:val="24"/>
              </w:rPr>
            </w:pPr>
          </w:p>
        </w:tc>
      </w:tr>
      <w:tr>
        <w:tblPrEx>
          <w:tblCellMar>
            <w:top w:w="0" w:type="dxa"/>
            <w:left w:w="108" w:type="dxa"/>
            <w:bottom w:w="0" w:type="dxa"/>
            <w:right w:w="108" w:type="dxa"/>
          </w:tblCellMar>
        </w:tblPrEx>
        <w:trPr>
          <w:trHeight w:val="691"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华文中宋" w:eastAsia="仿宋_GB2312"/>
                <w:color w:val="auto"/>
                <w:sz w:val="24"/>
                <w:lang w:eastAsia="zh-CN"/>
              </w:rPr>
            </w:pPr>
            <w:r>
              <w:rPr>
                <w:rFonts w:hint="eastAsia" w:ascii="仿宋_GB2312" w:hAnsi="华文中宋" w:eastAsia="仿宋_GB2312"/>
                <w:color w:val="auto"/>
                <w:sz w:val="24"/>
                <w:lang w:val="en-US" w:eastAsia="zh-CN"/>
              </w:rPr>
              <w:t>3</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color w:val="auto"/>
                <w:sz w:val="24"/>
              </w:rPr>
            </w:pPr>
            <w:r>
              <w:rPr>
                <w:rFonts w:hint="eastAsia" w:ascii="仿宋_GB2312" w:hAnsi="仿宋" w:eastAsia="仿宋_GB2312"/>
                <w:color w:val="auto"/>
                <w:sz w:val="24"/>
              </w:rPr>
              <w:t>工作台</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rPr>
                <w:rFonts w:ascii="仿宋_GB2312" w:hAnsi="仿宋" w:eastAsia="仿宋_GB2312"/>
                <w:color w:val="auto"/>
                <w:sz w:val="24"/>
              </w:rPr>
            </w:pPr>
            <w:r>
              <w:rPr>
                <w:rFonts w:hint="eastAsia" w:ascii="仿宋_GB2312" w:hAnsi="仿宋" w:eastAsia="仿宋_GB2312"/>
                <w:color w:val="auto"/>
                <w:sz w:val="24"/>
              </w:rPr>
              <w:t>配备零点快换、数控加工用刀架、换刀工具、锁刀座、换刀工作台等</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color w:val="FF0000"/>
                <w:sz w:val="24"/>
              </w:rPr>
            </w:pPr>
          </w:p>
        </w:tc>
      </w:tr>
      <w:tr>
        <w:tblPrEx>
          <w:tblCellMar>
            <w:top w:w="0" w:type="dxa"/>
            <w:left w:w="108" w:type="dxa"/>
            <w:bottom w:w="0" w:type="dxa"/>
            <w:right w:w="108" w:type="dxa"/>
          </w:tblCellMar>
        </w:tblPrEx>
        <w:trPr>
          <w:trHeight w:val="491"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仿宋_GB2312" w:eastAsia="仿宋_GB2312"/>
                <w:color w:val="auto"/>
                <w:sz w:val="24"/>
                <w:lang w:eastAsia="zh-CN"/>
              </w:rPr>
            </w:pPr>
            <w:r>
              <w:rPr>
                <w:rFonts w:hint="eastAsia" w:ascii="仿宋_GB2312" w:hAnsi="仿宋_GB2312" w:eastAsia="仿宋_GB2312"/>
                <w:color w:val="auto"/>
                <w:sz w:val="24"/>
                <w:lang w:val="en-US" w:eastAsia="zh-CN"/>
              </w:rPr>
              <w:t>6</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_GB2312" w:eastAsia="仿宋_GB2312"/>
                <w:color w:val="auto"/>
                <w:sz w:val="24"/>
              </w:rPr>
            </w:pPr>
            <w:r>
              <w:rPr>
                <w:rFonts w:hint="eastAsia" w:ascii="仿宋_GB2312" w:hAnsi="仿宋_GB2312" w:eastAsia="仿宋_GB2312"/>
                <w:color w:val="auto"/>
                <w:sz w:val="24"/>
              </w:rPr>
              <w:t>工量刃具</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rPr>
                <w:rFonts w:ascii="仿宋_GB2312" w:hAnsi="仿宋_GB2312" w:eastAsia="仿宋_GB2312"/>
                <w:color w:val="auto"/>
                <w:sz w:val="24"/>
              </w:rPr>
            </w:pPr>
            <w:r>
              <w:rPr>
                <w:rFonts w:hint="eastAsia" w:ascii="仿宋_GB2312" w:hAnsi="仿宋_GB2312" w:eastAsia="仿宋_GB2312"/>
                <w:color w:val="auto"/>
                <w:sz w:val="24"/>
              </w:rPr>
              <w:t>数控加工刀具、刀柄、量具若干（具体清单随样题公布）</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_GB2312" w:eastAsia="仿宋_GB2312"/>
                <w:color w:val="FF0000"/>
                <w:sz w:val="24"/>
              </w:rPr>
            </w:pPr>
          </w:p>
        </w:tc>
      </w:tr>
    </w:tbl>
    <w:p>
      <w:pPr>
        <w:widowControl/>
        <w:spacing w:line="560" w:lineRule="exact"/>
        <w:jc w:val="left"/>
        <w:rPr>
          <w:rFonts w:hint="eastAsia" w:ascii="华文楷体" w:hAnsi="华文楷体" w:eastAsia="华文楷体"/>
          <w:b/>
          <w:bCs/>
          <w:color w:val="auto"/>
          <w:sz w:val="30"/>
        </w:rPr>
      </w:pPr>
    </w:p>
    <w:p>
      <w:pPr>
        <w:widowControl/>
        <w:spacing w:line="560" w:lineRule="exact"/>
        <w:ind w:firstLine="600"/>
        <w:jc w:val="left"/>
        <w:rPr>
          <w:rFonts w:ascii="华文楷体" w:hAnsi="华文楷体" w:eastAsia="华文楷体"/>
          <w:b/>
          <w:bCs/>
          <w:color w:val="auto"/>
          <w:sz w:val="30"/>
        </w:rPr>
      </w:pPr>
      <w:r>
        <w:rPr>
          <w:rFonts w:hint="eastAsia" w:ascii="华文楷体" w:hAnsi="华文楷体" w:eastAsia="华文楷体"/>
          <w:b/>
          <w:bCs/>
          <w:color w:val="auto"/>
          <w:sz w:val="30"/>
        </w:rPr>
        <w:t>（二）赛位主要专业软件清单</w:t>
      </w:r>
    </w:p>
    <w:tbl>
      <w:tblPr>
        <w:tblStyle w:val="5"/>
        <w:tblW w:w="8752" w:type="dxa"/>
        <w:jc w:val="center"/>
        <w:tblLayout w:type="fixed"/>
        <w:tblCellMar>
          <w:top w:w="0" w:type="dxa"/>
          <w:left w:w="108" w:type="dxa"/>
          <w:bottom w:w="0" w:type="dxa"/>
          <w:right w:w="108" w:type="dxa"/>
        </w:tblCellMar>
      </w:tblPr>
      <w:tblGrid>
        <w:gridCol w:w="797"/>
        <w:gridCol w:w="7955"/>
      </w:tblGrid>
      <w:tr>
        <w:tblPrEx>
          <w:tblCellMar>
            <w:top w:w="0" w:type="dxa"/>
            <w:left w:w="108" w:type="dxa"/>
            <w:bottom w:w="0" w:type="dxa"/>
            <w:right w:w="108" w:type="dxa"/>
          </w:tblCellMar>
        </w:tblPrEx>
        <w:trPr>
          <w:trHeight w:val="520" w:hRule="exact"/>
          <w:jc w:val="center"/>
        </w:trPr>
        <w:tc>
          <w:tcPr>
            <w:tcW w:w="7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宋体"/>
                <w:b/>
                <w:bCs/>
                <w:color w:val="auto"/>
                <w:sz w:val="24"/>
              </w:rPr>
            </w:pPr>
            <w:r>
              <w:rPr>
                <w:rFonts w:hint="eastAsia" w:ascii="宋体"/>
                <w:b/>
                <w:bCs/>
                <w:color w:val="auto"/>
                <w:sz w:val="24"/>
              </w:rPr>
              <w:t>序号</w:t>
            </w:r>
          </w:p>
        </w:tc>
        <w:tc>
          <w:tcPr>
            <w:tcW w:w="7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宋体"/>
                <w:b/>
                <w:bCs/>
                <w:color w:val="auto"/>
                <w:sz w:val="24"/>
              </w:rPr>
            </w:pPr>
            <w:r>
              <w:rPr>
                <w:rFonts w:hint="eastAsia" w:ascii="宋体"/>
                <w:b/>
                <w:bCs/>
                <w:color w:val="auto"/>
                <w:sz w:val="24"/>
              </w:rPr>
              <w:t>软件名称与版本</w:t>
            </w:r>
          </w:p>
        </w:tc>
      </w:tr>
      <w:tr>
        <w:tblPrEx>
          <w:tblCellMar>
            <w:top w:w="0" w:type="dxa"/>
            <w:left w:w="108" w:type="dxa"/>
            <w:bottom w:w="0" w:type="dxa"/>
            <w:right w:w="108" w:type="dxa"/>
          </w:tblCellMar>
        </w:tblPrEx>
        <w:trPr>
          <w:trHeight w:val="745" w:hRule="exact"/>
          <w:jc w:val="center"/>
        </w:trPr>
        <w:tc>
          <w:tcPr>
            <w:tcW w:w="7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宋体"/>
                <w:color w:val="auto"/>
                <w:sz w:val="24"/>
              </w:rPr>
            </w:pPr>
            <w:r>
              <w:rPr>
                <w:rFonts w:hint="eastAsia" w:ascii="宋体"/>
                <w:color w:val="auto"/>
                <w:sz w:val="24"/>
              </w:rPr>
              <w:t>1</w:t>
            </w:r>
          </w:p>
        </w:tc>
        <w:tc>
          <w:tcPr>
            <w:tcW w:w="7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left"/>
              <w:rPr>
                <w:rFonts w:ascii="仿宋_GB2312" w:hAnsi="仿宋" w:eastAsia="仿宋_GB2312"/>
                <w:color w:val="auto"/>
                <w:sz w:val="24"/>
              </w:rPr>
            </w:pPr>
            <w:r>
              <w:rPr>
                <w:rFonts w:hint="eastAsia" w:ascii="仿宋_GB2312" w:hAnsi="仿宋" w:eastAsia="仿宋_GB2312"/>
                <w:color w:val="auto"/>
                <w:sz w:val="24"/>
              </w:rPr>
              <w:t>Win7操作系统（64位）；WPS Office 2018中文版；搜狗拼音输入法、搜狗五笔输入法。</w:t>
            </w:r>
          </w:p>
        </w:tc>
      </w:tr>
      <w:tr>
        <w:tblPrEx>
          <w:tblCellMar>
            <w:top w:w="0" w:type="dxa"/>
            <w:left w:w="108" w:type="dxa"/>
            <w:bottom w:w="0" w:type="dxa"/>
            <w:right w:w="108" w:type="dxa"/>
          </w:tblCellMar>
        </w:tblPrEx>
        <w:trPr>
          <w:trHeight w:val="597" w:hRule="exact"/>
          <w:jc w:val="center"/>
        </w:trPr>
        <w:tc>
          <w:tcPr>
            <w:tcW w:w="7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宋体"/>
                <w:color w:val="auto"/>
                <w:sz w:val="24"/>
              </w:rPr>
            </w:pPr>
            <w:r>
              <w:rPr>
                <w:rFonts w:hint="eastAsia" w:ascii="宋体"/>
                <w:color w:val="auto"/>
                <w:sz w:val="24"/>
              </w:rPr>
              <w:t>2</w:t>
            </w:r>
          </w:p>
        </w:tc>
        <w:tc>
          <w:tcPr>
            <w:tcW w:w="7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left"/>
              <w:rPr>
                <w:rFonts w:hint="eastAsia" w:ascii="仿宋_GB2312" w:hAnsi="仿宋" w:eastAsia="仿宋_GB2312"/>
                <w:color w:val="auto"/>
                <w:sz w:val="24"/>
                <w:lang w:eastAsia="zh-CN"/>
              </w:rPr>
            </w:pPr>
            <w:r>
              <w:rPr>
                <w:rFonts w:hint="eastAsia" w:ascii="仿宋_GB2312" w:hAnsi="仿宋" w:eastAsia="仿宋_GB2312"/>
                <w:color w:val="auto"/>
                <w:sz w:val="24"/>
              </w:rPr>
              <w:t>编程及仿真软件JDSoft_SurfMill 9.</w:t>
            </w:r>
            <w:r>
              <w:rPr>
                <w:rFonts w:hint="eastAsia" w:ascii="仿宋_GB2312" w:hAnsi="仿宋" w:eastAsia="仿宋_GB2312"/>
                <w:color w:val="auto"/>
                <w:sz w:val="24"/>
                <w:lang w:val="en-US" w:eastAsia="zh-CN"/>
              </w:rPr>
              <w:t>5</w:t>
            </w:r>
          </w:p>
        </w:tc>
      </w:tr>
    </w:tbl>
    <w:p>
      <w:pPr>
        <w:pStyle w:val="2"/>
        <w:spacing w:line="540" w:lineRule="exact"/>
        <w:ind w:firstLine="585"/>
        <w:rPr>
          <w:rFonts w:ascii="Arial Narrow" w:hAnsi="Arial Narrow" w:eastAsia="仿宋_GB2312" w:cs="Arial"/>
          <w:b/>
          <w:bCs/>
          <w:color w:val="auto"/>
          <w:sz w:val="30"/>
          <w:szCs w:val="30"/>
        </w:rPr>
      </w:pPr>
      <w:r>
        <w:rPr>
          <w:rFonts w:hint="eastAsia" w:ascii="Arial Narrow" w:hAnsi="Arial Narrow" w:eastAsia="仿宋_GB2312" w:cs="Arial"/>
          <w:b/>
          <w:bCs/>
          <w:color w:val="auto"/>
          <w:sz w:val="30"/>
          <w:szCs w:val="30"/>
        </w:rPr>
        <w:t>八、成绩评定</w:t>
      </w:r>
    </w:p>
    <w:p>
      <w:pPr>
        <w:snapToGrid w:val="0"/>
        <w:spacing w:line="540" w:lineRule="exact"/>
        <w:ind w:firstLine="600" w:firstLineChars="200"/>
        <w:rPr>
          <w:rFonts w:ascii="Arial Narrow" w:hAnsi="Arial Narrow" w:eastAsia="仿宋_GB2312" w:cs="Arial"/>
          <w:color w:val="auto"/>
          <w:sz w:val="30"/>
          <w:szCs w:val="30"/>
        </w:rPr>
      </w:pPr>
      <w:r>
        <w:rPr>
          <w:rFonts w:hint="eastAsia" w:ascii="Arial Narrow" w:hAnsi="Arial Narrow" w:eastAsia="仿宋_GB2312" w:cs="Arial"/>
          <w:color w:val="auto"/>
          <w:sz w:val="30"/>
          <w:szCs w:val="30"/>
        </w:rPr>
        <w:t>公开赛项评分标准和评分方式，赛项最终得分按百分制计分。成绩评定必须在公开、公平、公正、独立、透明的条件下进行。</w:t>
      </w:r>
    </w:p>
    <w:p>
      <w:pPr>
        <w:spacing w:line="360" w:lineRule="auto"/>
        <w:ind w:firstLine="600" w:firstLineChars="200"/>
        <w:rPr>
          <w:rFonts w:ascii="楷体" w:hAnsi="楷体" w:eastAsia="楷体" w:cs="仿宋"/>
          <w:color w:val="auto"/>
          <w:sz w:val="30"/>
          <w:szCs w:val="30"/>
        </w:rPr>
      </w:pPr>
      <w:r>
        <w:rPr>
          <w:rFonts w:hint="eastAsia" w:ascii="楷体" w:hAnsi="楷体" w:eastAsia="楷体" w:cs="仿宋"/>
          <w:color w:val="auto"/>
          <w:sz w:val="30"/>
          <w:szCs w:val="30"/>
        </w:rPr>
        <w:t>（一）评分原则</w:t>
      </w:r>
    </w:p>
    <w:p>
      <w:pPr>
        <w:snapToGrid w:val="0"/>
        <w:spacing w:line="560" w:lineRule="exact"/>
        <w:ind w:firstLine="600"/>
        <w:jc w:val="left"/>
        <w:rPr>
          <w:rFonts w:ascii="仿宋_GB2312" w:eastAsia="仿宋_GB2312"/>
          <w:color w:val="auto"/>
          <w:sz w:val="30"/>
        </w:rPr>
      </w:pPr>
      <w:r>
        <w:rPr>
          <w:rFonts w:hint="eastAsia" w:ascii="仿宋_GB2312" w:eastAsia="仿宋_GB2312"/>
          <w:color w:val="auto"/>
          <w:sz w:val="30"/>
        </w:rPr>
        <w:t>采用过程评价与结果评价相结合、能力评价与职业素养评价相结合的方式。为了保证评判“公平、公正、公开”，采取以下措施：</w:t>
      </w:r>
    </w:p>
    <w:p>
      <w:pPr>
        <w:snapToGrid w:val="0"/>
        <w:spacing w:line="560" w:lineRule="exact"/>
        <w:ind w:firstLine="600"/>
        <w:jc w:val="left"/>
        <w:rPr>
          <w:rFonts w:ascii="仿宋_GB2312" w:eastAsia="仿宋_GB2312"/>
          <w:color w:val="auto"/>
          <w:sz w:val="30"/>
        </w:rPr>
      </w:pPr>
      <w:r>
        <w:rPr>
          <w:rFonts w:hint="eastAsia" w:ascii="仿宋_GB2312" w:eastAsia="仿宋_GB2312"/>
          <w:color w:val="auto"/>
          <w:sz w:val="30"/>
        </w:rPr>
        <w:t>1.赛前一个月公开样题一套，公布在机械工业发展中心网页（www.cmedc.com），赛题与样题偏差不超过30%。</w:t>
      </w:r>
    </w:p>
    <w:p>
      <w:pPr>
        <w:snapToGrid w:val="0"/>
        <w:spacing w:line="560" w:lineRule="exact"/>
        <w:ind w:firstLine="600"/>
        <w:jc w:val="left"/>
        <w:rPr>
          <w:rFonts w:ascii="仿宋_GB2312" w:eastAsia="仿宋_GB2312"/>
          <w:color w:val="auto"/>
          <w:sz w:val="30"/>
        </w:rPr>
      </w:pPr>
      <w:r>
        <w:rPr>
          <w:rFonts w:hint="eastAsia" w:ascii="仿宋_GB2312" w:eastAsia="仿宋_GB2312"/>
          <w:color w:val="auto"/>
          <w:sz w:val="30"/>
        </w:rPr>
        <w:t>2.技术人员赛前统一调试各比赛设备，保证技术平台条件一致。</w:t>
      </w:r>
    </w:p>
    <w:p>
      <w:pPr>
        <w:snapToGrid w:val="0"/>
        <w:spacing w:line="560" w:lineRule="exact"/>
        <w:ind w:firstLine="600"/>
        <w:jc w:val="left"/>
        <w:rPr>
          <w:rFonts w:ascii="仿宋_GB2312" w:eastAsia="仿宋_GB2312"/>
          <w:color w:val="auto"/>
          <w:sz w:val="30"/>
        </w:rPr>
      </w:pPr>
      <w:r>
        <w:rPr>
          <w:rFonts w:hint="eastAsia" w:ascii="仿宋_GB2312" w:eastAsia="仿宋_GB2312"/>
          <w:color w:val="auto"/>
          <w:sz w:val="30"/>
        </w:rPr>
        <w:t>3.裁判队伍赛前封闭培训，统一评判标准。</w:t>
      </w:r>
    </w:p>
    <w:p>
      <w:pPr>
        <w:snapToGrid w:val="0"/>
        <w:spacing w:line="560" w:lineRule="exact"/>
        <w:ind w:firstLine="600"/>
        <w:jc w:val="left"/>
        <w:rPr>
          <w:rFonts w:ascii="仿宋_GB2312" w:eastAsia="仿宋_GB2312"/>
          <w:color w:val="auto"/>
          <w:sz w:val="30"/>
        </w:rPr>
      </w:pPr>
      <w:r>
        <w:rPr>
          <w:rFonts w:hint="eastAsia" w:ascii="仿宋_GB2312" w:eastAsia="仿宋_GB2312"/>
          <w:color w:val="auto"/>
          <w:sz w:val="30"/>
        </w:rPr>
        <w:t>4.工件测量结果由三坐标测量机等进行检测。</w:t>
      </w:r>
    </w:p>
    <w:p>
      <w:pPr>
        <w:snapToGrid w:val="0"/>
        <w:spacing w:line="560" w:lineRule="exact"/>
        <w:ind w:firstLine="600"/>
        <w:jc w:val="left"/>
        <w:rPr>
          <w:rFonts w:ascii="仿宋_GB2312" w:eastAsia="仿宋_GB2312"/>
          <w:color w:val="auto"/>
          <w:sz w:val="30"/>
        </w:rPr>
      </w:pPr>
      <w:r>
        <w:rPr>
          <w:rFonts w:hint="eastAsia" w:ascii="仿宋_GB2312" w:eastAsia="仿宋_GB2312"/>
          <w:color w:val="auto"/>
          <w:sz w:val="30"/>
        </w:rPr>
        <w:t>5.加强试题保密工作。</w:t>
      </w:r>
    </w:p>
    <w:p>
      <w:pPr>
        <w:spacing w:line="360" w:lineRule="auto"/>
        <w:ind w:firstLine="600" w:firstLineChars="200"/>
        <w:rPr>
          <w:rFonts w:ascii="楷体" w:hAnsi="楷体" w:eastAsia="楷体" w:cs="仿宋"/>
          <w:color w:val="auto"/>
          <w:sz w:val="30"/>
          <w:szCs w:val="30"/>
        </w:rPr>
      </w:pPr>
      <w:r>
        <w:rPr>
          <w:rFonts w:hint="eastAsia" w:ascii="楷体" w:hAnsi="楷体" w:eastAsia="楷体" w:cs="仿宋"/>
          <w:color w:val="auto"/>
          <w:sz w:val="30"/>
          <w:szCs w:val="30"/>
        </w:rPr>
        <w:t>（二）评分细则</w:t>
      </w:r>
    </w:p>
    <w:p>
      <w:pPr>
        <w:snapToGrid w:val="0"/>
        <w:spacing w:line="560" w:lineRule="exact"/>
        <w:ind w:firstLine="600"/>
        <w:jc w:val="left"/>
        <w:rPr>
          <w:rFonts w:ascii="仿宋_GB2312" w:eastAsia="仿宋_GB2312"/>
          <w:b/>
          <w:bCs/>
          <w:color w:val="auto"/>
          <w:sz w:val="30"/>
        </w:rPr>
      </w:pPr>
      <w:r>
        <w:rPr>
          <w:rFonts w:hint="eastAsia" w:ascii="仿宋_GB2312" w:eastAsia="仿宋_GB2312"/>
          <w:color w:val="auto"/>
          <w:sz w:val="30"/>
        </w:rPr>
        <w:t>本赛项总成绩100分，具体分数配比如下表：</w:t>
      </w:r>
    </w:p>
    <w:p>
      <w:pPr>
        <w:snapToGrid w:val="0"/>
        <w:spacing w:line="560" w:lineRule="exact"/>
        <w:ind w:firstLine="480"/>
        <w:jc w:val="center"/>
        <w:rPr>
          <w:rFonts w:hint="eastAsia" w:ascii="仿宋_GB2312" w:hAnsi="仿宋_GB2312" w:eastAsia="仿宋_GB2312"/>
          <w:color w:val="auto"/>
          <w:sz w:val="24"/>
        </w:rPr>
      </w:pPr>
      <w:r>
        <w:rPr>
          <w:rFonts w:hint="eastAsia" w:ascii="仿宋_GB2312" w:hAnsi="仿宋_GB2312" w:eastAsia="仿宋_GB2312"/>
          <w:color w:val="auto"/>
          <w:sz w:val="24"/>
        </w:rPr>
        <w:t>比赛现场完成工作任务评分标准表</w:t>
      </w:r>
    </w:p>
    <w:tbl>
      <w:tblPr>
        <w:tblStyle w:val="5"/>
        <w:tblW w:w="8364" w:type="dxa"/>
        <w:tblInd w:w="108" w:type="dxa"/>
        <w:tblLayout w:type="fixed"/>
        <w:tblCellMar>
          <w:top w:w="0" w:type="dxa"/>
          <w:left w:w="108" w:type="dxa"/>
          <w:bottom w:w="0" w:type="dxa"/>
          <w:right w:w="108" w:type="dxa"/>
        </w:tblCellMar>
      </w:tblPr>
      <w:tblGrid>
        <w:gridCol w:w="709"/>
        <w:gridCol w:w="1418"/>
        <w:gridCol w:w="708"/>
        <w:gridCol w:w="4678"/>
        <w:gridCol w:w="851"/>
      </w:tblGrid>
      <w:tr>
        <w:tblPrEx>
          <w:tblCellMar>
            <w:top w:w="0" w:type="dxa"/>
            <w:left w:w="108" w:type="dxa"/>
            <w:bottom w:w="0" w:type="dxa"/>
            <w:right w:w="108" w:type="dxa"/>
          </w:tblCellMar>
        </w:tblPrEx>
        <w:trPr>
          <w:trHeight w:val="555" w:hRule="atLeast"/>
        </w:trPr>
        <w:tc>
          <w:tcPr>
            <w:tcW w:w="709" w:type="dxa"/>
            <w:tcBorders>
              <w:top w:val="single" w:color="000000" w:sz="12" w:space="0"/>
              <w:left w:val="single" w:color="000000" w:sz="12" w:space="0"/>
              <w:bottom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b/>
                <w:bCs/>
                <w:color w:val="auto"/>
                <w:spacing w:val="-2"/>
                <w:sz w:val="24"/>
                <w:shd w:val="clear" w:color="auto" w:fill="auto"/>
              </w:rPr>
            </w:pPr>
            <w:r>
              <w:rPr>
                <w:rFonts w:hint="eastAsia" w:ascii="仿宋_GB2312" w:hAnsi="仿宋_GB2312" w:eastAsia="仿宋_GB2312"/>
                <w:b/>
                <w:bCs/>
                <w:color w:val="auto"/>
                <w:spacing w:val="-2"/>
                <w:sz w:val="24"/>
                <w:shd w:val="clear" w:color="auto" w:fill="auto"/>
              </w:rPr>
              <w:t>序号</w:t>
            </w:r>
          </w:p>
        </w:tc>
        <w:tc>
          <w:tcPr>
            <w:tcW w:w="1418" w:type="dxa"/>
            <w:tcBorders>
              <w:top w:val="single" w:color="000000" w:sz="12"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b/>
                <w:bCs/>
                <w:color w:val="auto"/>
                <w:spacing w:val="-2"/>
                <w:sz w:val="24"/>
                <w:shd w:val="clear" w:color="auto" w:fill="auto"/>
              </w:rPr>
            </w:pPr>
            <w:r>
              <w:rPr>
                <w:rFonts w:hint="eastAsia" w:ascii="仿宋_GB2312" w:hAnsi="仿宋_GB2312" w:eastAsia="仿宋_GB2312"/>
                <w:b/>
                <w:bCs/>
                <w:color w:val="auto"/>
                <w:spacing w:val="-2"/>
                <w:sz w:val="24"/>
                <w:shd w:val="clear" w:color="auto" w:fill="auto"/>
              </w:rPr>
              <w:t>一级指标</w:t>
            </w:r>
          </w:p>
        </w:tc>
        <w:tc>
          <w:tcPr>
            <w:tcW w:w="708" w:type="dxa"/>
            <w:tcBorders>
              <w:top w:val="single" w:color="000000" w:sz="12"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b/>
                <w:bCs/>
                <w:color w:val="auto"/>
                <w:spacing w:val="-2"/>
                <w:sz w:val="24"/>
                <w:shd w:val="clear" w:color="auto" w:fill="auto"/>
              </w:rPr>
            </w:pPr>
            <w:r>
              <w:rPr>
                <w:rFonts w:hint="eastAsia" w:ascii="仿宋_GB2312" w:hAnsi="仿宋_GB2312" w:eastAsia="仿宋_GB2312"/>
                <w:b/>
                <w:bCs/>
                <w:color w:val="auto"/>
                <w:spacing w:val="-2"/>
                <w:sz w:val="24"/>
                <w:shd w:val="clear" w:color="auto" w:fill="auto"/>
              </w:rPr>
              <w:t>比例</w:t>
            </w:r>
          </w:p>
        </w:tc>
        <w:tc>
          <w:tcPr>
            <w:tcW w:w="4678" w:type="dxa"/>
            <w:tcBorders>
              <w:top w:val="single" w:color="000000" w:sz="12"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b/>
                <w:bCs/>
                <w:color w:val="auto"/>
                <w:spacing w:val="-2"/>
                <w:sz w:val="24"/>
                <w:shd w:val="clear" w:color="auto" w:fill="auto"/>
              </w:rPr>
            </w:pPr>
            <w:r>
              <w:rPr>
                <w:rFonts w:hint="eastAsia" w:ascii="仿宋_GB2312" w:hAnsi="仿宋_GB2312" w:eastAsia="仿宋_GB2312"/>
                <w:b/>
                <w:bCs/>
                <w:color w:val="auto"/>
                <w:spacing w:val="-2"/>
                <w:sz w:val="24"/>
                <w:shd w:val="clear" w:color="auto" w:fill="auto"/>
              </w:rPr>
              <w:t>二级指标</w:t>
            </w:r>
          </w:p>
        </w:tc>
        <w:tc>
          <w:tcPr>
            <w:tcW w:w="851" w:type="dxa"/>
            <w:tcBorders>
              <w:top w:val="single" w:color="000000" w:sz="12"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jc w:val="left"/>
              <w:rPr>
                <w:rFonts w:ascii="仿宋_GB2312" w:hAnsi="仿宋_GB2312" w:eastAsia="仿宋_GB2312"/>
                <w:b/>
                <w:bCs/>
                <w:color w:val="auto"/>
                <w:spacing w:val="-2"/>
                <w:sz w:val="24"/>
                <w:shd w:val="clear" w:color="auto" w:fill="auto"/>
              </w:rPr>
            </w:pPr>
            <w:r>
              <w:rPr>
                <w:rFonts w:hint="eastAsia" w:ascii="仿宋_GB2312" w:hAnsi="仿宋_GB2312" w:eastAsia="仿宋_GB2312"/>
                <w:b/>
                <w:bCs/>
                <w:color w:val="auto"/>
                <w:spacing w:val="-2"/>
                <w:sz w:val="24"/>
                <w:shd w:val="clear" w:color="auto" w:fill="auto"/>
              </w:rPr>
              <w:t>分值</w:t>
            </w:r>
          </w:p>
        </w:tc>
      </w:tr>
      <w:tr>
        <w:tblPrEx>
          <w:tblCellMar>
            <w:top w:w="0" w:type="dxa"/>
            <w:left w:w="108" w:type="dxa"/>
            <w:bottom w:w="0" w:type="dxa"/>
            <w:right w:w="108" w:type="dxa"/>
          </w:tblCellMar>
        </w:tblPrEx>
        <w:trPr>
          <w:trHeight w:val="516" w:hRule="atLeast"/>
        </w:trPr>
        <w:tc>
          <w:tcPr>
            <w:tcW w:w="709" w:type="dxa"/>
            <w:tcBorders>
              <w:top w:val="single" w:color="000000" w:sz="4" w:space="0"/>
              <w:left w:val="single" w:color="000000" w:sz="12" w:space="0"/>
              <w:bottom w:val="single" w:color="000000" w:sz="4" w:space="0"/>
              <w:right w:val="single" w:color="000000" w:sz="4"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lang w:val="en-US" w:eastAsia="zh-CN"/>
              </w:rPr>
            </w:pPr>
            <w:r>
              <w:rPr>
                <w:rFonts w:hint="eastAsia" w:ascii="仿宋_GB2312" w:hAnsi="仿宋_GB2312" w:eastAsia="仿宋_GB2312"/>
                <w:color w:val="auto"/>
                <w:spacing w:val="-2"/>
                <w:sz w:val="24"/>
                <w:shd w:val="clear" w:color="auto" w:fill="auto"/>
                <w:lang w:val="en-US" w:eastAsia="zh-CN"/>
              </w:rPr>
              <w:t>1</w:t>
            </w:r>
          </w:p>
        </w:tc>
        <w:tc>
          <w:tcPr>
            <w:tcW w:w="14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360" w:lineRule="exact"/>
              <w:jc w:val="center"/>
              <w:rPr>
                <w:rFonts w:hint="eastAsia" w:ascii="仿宋_GB2312" w:hAnsi="仿宋_GB2312" w:eastAsia="仿宋_GB2312"/>
                <w:color w:val="auto"/>
                <w:spacing w:val="-2"/>
                <w:sz w:val="24"/>
                <w:shd w:val="clear" w:color="auto" w:fill="auto"/>
                <w:lang w:eastAsia="zh-CN"/>
              </w:rPr>
            </w:pPr>
            <w:r>
              <w:rPr>
                <w:rFonts w:hint="eastAsia" w:ascii="仿宋_GB2312" w:hAnsi="仿宋_GB2312" w:eastAsia="仿宋_GB2312"/>
                <w:color w:val="auto"/>
                <w:spacing w:val="-2"/>
                <w:sz w:val="24"/>
                <w:shd w:val="clear" w:color="auto" w:fill="auto"/>
              </w:rPr>
              <w:t>数控编程与仿真</w:t>
            </w:r>
          </w:p>
        </w:tc>
        <w:tc>
          <w:tcPr>
            <w:tcW w:w="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lang w:val="en-US" w:eastAsia="zh-CN"/>
              </w:rPr>
            </w:pPr>
            <w:r>
              <w:rPr>
                <w:rFonts w:hint="eastAsia" w:ascii="仿宋_GB2312" w:hAnsi="仿宋_GB2312" w:eastAsia="仿宋_GB2312"/>
                <w:color w:val="auto"/>
                <w:spacing w:val="-2"/>
                <w:sz w:val="24"/>
                <w:shd w:val="clear" w:color="auto" w:fill="auto"/>
              </w:rPr>
              <w:t>1</w:t>
            </w:r>
            <w:r>
              <w:rPr>
                <w:rFonts w:hint="eastAsia" w:ascii="仿宋_GB2312" w:hAnsi="仿宋_GB2312" w:eastAsia="仿宋_GB2312"/>
                <w:color w:val="auto"/>
                <w:spacing w:val="-2"/>
                <w:sz w:val="24"/>
                <w:shd w:val="clear" w:color="auto" w:fill="auto"/>
                <w:lang w:val="en-US" w:eastAsia="zh-CN"/>
              </w:rPr>
              <w:t>0</w:t>
            </w:r>
            <w:r>
              <w:rPr>
                <w:rFonts w:ascii="仿宋_GB2312" w:hAnsi="仿宋_GB2312" w:eastAsia="仿宋_GB2312"/>
                <w:color w:val="auto"/>
                <w:spacing w:val="-2"/>
                <w:sz w:val="24"/>
                <w:shd w:val="clear" w:color="auto" w:fill="auto"/>
              </w:rPr>
              <w:t>%</w:t>
            </w:r>
          </w:p>
        </w:tc>
        <w:tc>
          <w:tcPr>
            <w:tcW w:w="46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rPr>
            </w:pPr>
            <w:r>
              <w:rPr>
                <w:rFonts w:hint="eastAsia" w:ascii="仿宋_GB2312" w:hAnsi="仿宋_GB2312" w:eastAsia="仿宋_GB2312"/>
                <w:color w:val="auto"/>
                <w:spacing w:val="-2"/>
                <w:sz w:val="24"/>
                <w:shd w:val="clear" w:color="auto" w:fill="auto"/>
              </w:rPr>
              <w:t>加工</w:t>
            </w:r>
            <w:r>
              <w:rPr>
                <w:rFonts w:ascii="仿宋_GB2312" w:hAnsi="仿宋_GB2312" w:eastAsia="仿宋_GB2312"/>
                <w:color w:val="auto"/>
                <w:spacing w:val="-2"/>
                <w:sz w:val="24"/>
                <w:shd w:val="clear" w:color="auto" w:fill="auto"/>
              </w:rPr>
              <w:t>仿真</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jc w:val="center"/>
              <w:rPr>
                <w:rFonts w:hint="default" w:ascii="仿宋_GB2312" w:hAnsi="仿宋_GB2312" w:eastAsia="仿宋_GB2312"/>
                <w:color w:val="auto"/>
                <w:spacing w:val="-2"/>
                <w:sz w:val="24"/>
                <w:shd w:val="clear" w:color="auto" w:fill="auto"/>
                <w:lang w:val="en-US"/>
              </w:rPr>
            </w:pPr>
            <w:r>
              <w:rPr>
                <w:rFonts w:hint="eastAsia" w:ascii="仿宋_GB2312" w:hAnsi="仿宋_GB2312" w:eastAsia="仿宋_GB2312"/>
                <w:color w:val="auto"/>
                <w:spacing w:val="-2"/>
                <w:sz w:val="24"/>
                <w:shd w:val="clear" w:color="auto" w:fill="auto"/>
                <w:lang w:val="en-US" w:eastAsia="zh-CN"/>
              </w:rPr>
              <w:t>10</w:t>
            </w:r>
          </w:p>
        </w:tc>
      </w:tr>
      <w:tr>
        <w:tblPrEx>
          <w:tblCellMar>
            <w:top w:w="0" w:type="dxa"/>
            <w:left w:w="108" w:type="dxa"/>
            <w:bottom w:w="0" w:type="dxa"/>
            <w:right w:w="108" w:type="dxa"/>
          </w:tblCellMar>
        </w:tblPrEx>
        <w:trPr>
          <w:trHeight w:val="430" w:hRule="atLeast"/>
        </w:trPr>
        <w:tc>
          <w:tcPr>
            <w:tcW w:w="709" w:type="dxa"/>
            <w:tcBorders>
              <w:top w:val="single" w:color="auto" w:sz="4" w:space="0"/>
              <w:left w:val="single" w:color="000000" w:sz="12" w:space="0"/>
              <w:right w:val="single" w:color="000000" w:sz="4" w:space="0"/>
            </w:tcBorders>
            <w:tcMar>
              <w:top w:w="0" w:type="dxa"/>
              <w:left w:w="108" w:type="dxa"/>
              <w:bottom w:w="0" w:type="dxa"/>
              <w:right w:w="108" w:type="dxa"/>
            </w:tcMar>
            <w:vAlign w:val="center"/>
          </w:tcPr>
          <w:p>
            <w:pPr>
              <w:spacing w:line="360" w:lineRule="exact"/>
              <w:jc w:val="center"/>
              <w:rPr>
                <w:rFonts w:hint="eastAsia" w:ascii="仿宋_GB2312" w:hAnsi="仿宋_GB2312" w:eastAsia="仿宋_GB2312"/>
                <w:color w:val="auto"/>
                <w:spacing w:val="-2"/>
                <w:sz w:val="24"/>
                <w:highlight w:val="none"/>
                <w:shd w:val="clear" w:color="auto" w:fill="auto"/>
                <w:lang w:eastAsia="zh-CN"/>
              </w:rPr>
            </w:pPr>
            <w:r>
              <w:rPr>
                <w:rFonts w:hint="eastAsia" w:ascii="仿宋_GB2312" w:hAnsi="仿宋_GB2312" w:eastAsia="仿宋_GB2312"/>
                <w:color w:val="auto"/>
                <w:spacing w:val="-2"/>
                <w:sz w:val="24"/>
                <w:highlight w:val="none"/>
                <w:shd w:val="clear" w:color="auto" w:fill="auto"/>
                <w:lang w:val="en-US" w:eastAsia="zh-CN"/>
              </w:rPr>
              <w:t>2</w:t>
            </w:r>
          </w:p>
        </w:tc>
        <w:tc>
          <w:tcPr>
            <w:tcW w:w="1418" w:type="dxa"/>
            <w:tcBorders>
              <w:top w:val="single" w:color="auto" w:sz="4" w:space="0"/>
              <w:left w:val="single" w:color="000000" w:sz="4" w:space="0"/>
              <w:right w:val="single" w:color="000000" w:sz="4" w:space="0"/>
            </w:tcBorders>
            <w:tcMar>
              <w:top w:w="0" w:type="dxa"/>
              <w:left w:w="108" w:type="dxa"/>
              <w:bottom w:w="0" w:type="dxa"/>
              <w:right w:w="108" w:type="dxa"/>
            </w:tcMar>
            <w:vAlign w:val="center"/>
          </w:tcPr>
          <w:p>
            <w:pPr>
              <w:spacing w:line="360" w:lineRule="exact"/>
              <w:jc w:val="center"/>
              <w:rPr>
                <w:rFonts w:ascii="仿宋_GB2312" w:hAnsi="仿宋_GB2312" w:eastAsia="仿宋_GB2312"/>
                <w:color w:val="auto"/>
                <w:spacing w:val="-2"/>
                <w:sz w:val="24"/>
                <w:highlight w:val="none"/>
                <w:shd w:val="clear" w:color="auto" w:fill="auto"/>
              </w:rPr>
            </w:pPr>
            <w:r>
              <w:rPr>
                <w:rFonts w:hint="eastAsia" w:ascii="仿宋_GB2312" w:hAnsi="仿宋_GB2312" w:eastAsia="仿宋_GB2312"/>
                <w:color w:val="auto"/>
                <w:spacing w:val="-2"/>
                <w:sz w:val="24"/>
                <w:highlight w:val="none"/>
                <w:shd w:val="clear" w:color="auto" w:fill="auto"/>
              </w:rPr>
              <w:t>五轴数控加工</w:t>
            </w:r>
          </w:p>
        </w:tc>
        <w:tc>
          <w:tcPr>
            <w:tcW w:w="708" w:type="dxa"/>
            <w:tcBorders>
              <w:top w:val="single" w:color="auto" w:sz="4" w:space="0"/>
              <w:left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highlight w:val="none"/>
                <w:shd w:val="clear" w:color="auto" w:fill="auto"/>
              </w:rPr>
            </w:pPr>
            <w:r>
              <w:rPr>
                <w:rFonts w:hint="eastAsia" w:ascii="仿宋_GB2312" w:hAnsi="仿宋_GB2312" w:eastAsia="仿宋_GB2312"/>
                <w:color w:val="auto"/>
                <w:spacing w:val="-2"/>
                <w:sz w:val="24"/>
                <w:highlight w:val="none"/>
                <w:shd w:val="clear" w:color="auto" w:fill="auto"/>
                <w:lang w:val="en-US" w:eastAsia="zh-CN"/>
              </w:rPr>
              <w:t>60</w:t>
            </w:r>
            <w:r>
              <w:rPr>
                <w:rFonts w:ascii="仿宋_GB2312" w:hAnsi="仿宋_GB2312" w:eastAsia="仿宋_GB2312"/>
                <w:color w:val="auto"/>
                <w:spacing w:val="-2"/>
                <w:sz w:val="24"/>
                <w:highlight w:val="none"/>
                <w:shd w:val="clear" w:color="auto" w:fill="auto"/>
              </w:rPr>
              <w:t>%</w:t>
            </w:r>
          </w:p>
        </w:tc>
        <w:tc>
          <w:tcPr>
            <w:tcW w:w="4678"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highlight w:val="none"/>
                <w:shd w:val="clear" w:color="auto" w:fill="auto"/>
                <w:lang w:eastAsia="zh-CN"/>
              </w:rPr>
            </w:pPr>
            <w:r>
              <w:rPr>
                <w:rFonts w:hint="eastAsia" w:ascii="仿宋_GB2312" w:hAnsi="仿宋_GB2312" w:eastAsia="仿宋_GB2312"/>
                <w:color w:val="auto"/>
                <w:spacing w:val="-2"/>
                <w:sz w:val="24"/>
                <w:highlight w:val="none"/>
                <w:shd w:val="clear" w:color="auto" w:fill="auto"/>
              </w:rPr>
              <w:t>尺寸</w:t>
            </w:r>
            <w:r>
              <w:rPr>
                <w:rFonts w:hint="eastAsia" w:ascii="仿宋_GB2312" w:hAnsi="仿宋_GB2312" w:eastAsia="仿宋_GB2312"/>
                <w:color w:val="auto"/>
                <w:spacing w:val="-2"/>
                <w:sz w:val="24"/>
                <w:highlight w:val="none"/>
                <w:shd w:val="clear" w:color="auto" w:fill="auto"/>
                <w:lang w:eastAsia="zh-CN"/>
              </w:rPr>
              <w:t>精度</w:t>
            </w:r>
            <w:r>
              <w:rPr>
                <w:rFonts w:hint="eastAsia" w:ascii="仿宋_GB2312" w:hAnsi="仿宋_GB2312" w:eastAsia="仿宋_GB2312"/>
                <w:color w:val="auto"/>
                <w:spacing w:val="-2"/>
                <w:sz w:val="24"/>
                <w:highlight w:val="none"/>
                <w:shd w:val="clear" w:color="auto" w:fill="auto"/>
              </w:rPr>
              <w:t>检测、</w:t>
            </w:r>
            <w:r>
              <w:rPr>
                <w:rFonts w:hint="eastAsia" w:ascii="仿宋_GB2312" w:hAnsi="仿宋_GB2312" w:eastAsia="仿宋_GB2312"/>
                <w:color w:val="auto"/>
                <w:spacing w:val="-2"/>
                <w:sz w:val="24"/>
                <w:highlight w:val="none"/>
                <w:shd w:val="clear" w:color="auto" w:fill="auto"/>
                <w:lang w:eastAsia="zh-CN"/>
              </w:rPr>
              <w:t>形位精度检测、</w:t>
            </w:r>
            <w:r>
              <w:rPr>
                <w:rFonts w:hint="eastAsia" w:ascii="仿宋_GB2312" w:hAnsi="仿宋_GB2312" w:eastAsia="仿宋_GB2312"/>
                <w:color w:val="auto"/>
                <w:spacing w:val="-2"/>
                <w:sz w:val="24"/>
                <w:highlight w:val="none"/>
                <w:shd w:val="clear" w:color="auto" w:fill="auto"/>
              </w:rPr>
              <w:t>表面粗糙度检测</w:t>
            </w:r>
            <w:r>
              <w:rPr>
                <w:rFonts w:hint="eastAsia" w:ascii="仿宋_GB2312" w:hAnsi="仿宋_GB2312" w:eastAsia="仿宋_GB2312"/>
                <w:color w:val="auto"/>
                <w:spacing w:val="-2"/>
                <w:sz w:val="24"/>
                <w:highlight w:val="none"/>
                <w:shd w:val="clear" w:color="auto" w:fill="auto"/>
                <w:lang w:eastAsia="zh-CN"/>
              </w:rPr>
              <w:t>、外观评判</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jc w:val="center"/>
              <w:rPr>
                <w:rFonts w:hint="default" w:ascii="仿宋_GB2312" w:hAnsi="仿宋_GB2312" w:eastAsia="仿宋_GB2312"/>
                <w:color w:val="auto"/>
                <w:spacing w:val="-2"/>
                <w:sz w:val="24"/>
                <w:highlight w:val="none"/>
                <w:shd w:val="clear" w:color="auto" w:fill="auto"/>
                <w:lang w:val="en-US" w:eastAsia="zh-CN"/>
              </w:rPr>
            </w:pPr>
            <w:r>
              <w:rPr>
                <w:rFonts w:hint="eastAsia" w:ascii="仿宋_GB2312" w:hAnsi="仿宋_GB2312" w:eastAsia="仿宋_GB2312"/>
                <w:color w:val="auto"/>
                <w:spacing w:val="-2"/>
                <w:sz w:val="24"/>
                <w:highlight w:val="none"/>
                <w:shd w:val="clear" w:color="auto" w:fill="auto"/>
                <w:lang w:val="en-US" w:eastAsia="zh-CN"/>
              </w:rPr>
              <w:t>60</w:t>
            </w:r>
          </w:p>
        </w:tc>
      </w:tr>
      <w:tr>
        <w:tblPrEx>
          <w:tblCellMar>
            <w:top w:w="0" w:type="dxa"/>
            <w:left w:w="108" w:type="dxa"/>
            <w:bottom w:w="0" w:type="dxa"/>
            <w:right w:w="108" w:type="dxa"/>
          </w:tblCellMar>
        </w:tblPrEx>
        <w:trPr>
          <w:trHeight w:val="743" w:hRule="atLeast"/>
        </w:trPr>
        <w:tc>
          <w:tcPr>
            <w:tcW w:w="709" w:type="dxa"/>
            <w:tcBorders>
              <w:top w:val="single" w:color="000000" w:sz="4" w:space="0"/>
              <w:left w:val="single" w:color="000000" w:sz="12" w:space="0"/>
              <w:right w:val="single" w:color="000000" w:sz="4" w:space="0"/>
            </w:tcBorders>
            <w:tcMar>
              <w:top w:w="0" w:type="dxa"/>
              <w:left w:w="108" w:type="dxa"/>
              <w:bottom w:w="0" w:type="dxa"/>
              <w:right w:w="108" w:type="dxa"/>
            </w:tcMar>
            <w:vAlign w:val="center"/>
          </w:tcPr>
          <w:p>
            <w:pPr>
              <w:jc w:val="center"/>
              <w:rPr>
                <w:rFonts w:hint="eastAsia" w:ascii="宋体" w:eastAsia="宋体"/>
                <w:color w:val="auto"/>
                <w:sz w:val="20"/>
                <w:highlight w:val="none"/>
                <w:shd w:val="clear" w:color="auto" w:fill="auto"/>
                <w:lang w:eastAsia="zh-CN"/>
              </w:rPr>
            </w:pPr>
            <w:r>
              <w:rPr>
                <w:rFonts w:hint="eastAsia" w:ascii="仿宋_GB2312" w:hAnsi="仿宋_GB2312" w:eastAsia="仿宋_GB2312"/>
                <w:color w:val="auto"/>
                <w:spacing w:val="-2"/>
                <w:sz w:val="24"/>
                <w:highlight w:val="none"/>
                <w:shd w:val="clear" w:color="auto" w:fill="auto"/>
                <w:lang w:val="en-US" w:eastAsia="zh-CN"/>
              </w:rPr>
              <w:t>3</w:t>
            </w:r>
          </w:p>
        </w:tc>
        <w:tc>
          <w:tcPr>
            <w:tcW w:w="1418"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spacing w:line="360" w:lineRule="exact"/>
              <w:jc w:val="center"/>
              <w:rPr>
                <w:rFonts w:ascii="宋体"/>
                <w:color w:val="auto"/>
                <w:sz w:val="20"/>
                <w:highlight w:val="none"/>
                <w:shd w:val="clear" w:color="auto" w:fill="auto"/>
              </w:rPr>
            </w:pPr>
            <w:r>
              <w:rPr>
                <w:rFonts w:hint="eastAsia" w:ascii="仿宋_GB2312" w:hAnsi="仿宋_GB2312" w:eastAsia="仿宋_GB2312"/>
                <w:color w:val="auto"/>
                <w:spacing w:val="-2"/>
                <w:sz w:val="24"/>
                <w:highlight w:val="none"/>
                <w:shd w:val="clear" w:color="auto" w:fill="auto"/>
              </w:rPr>
              <w:t>在机检测</w:t>
            </w:r>
          </w:p>
        </w:tc>
        <w:tc>
          <w:tcPr>
            <w:tcW w:w="708"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highlight w:val="none"/>
                <w:shd w:val="clear" w:color="auto" w:fill="auto"/>
              </w:rPr>
            </w:pPr>
          </w:p>
          <w:p>
            <w:pPr>
              <w:jc w:val="center"/>
              <w:rPr>
                <w:rFonts w:ascii="仿宋_GB2312" w:hAnsi="仿宋_GB2312" w:eastAsia="仿宋_GB2312"/>
                <w:color w:val="auto"/>
                <w:spacing w:val="-2"/>
                <w:sz w:val="24"/>
                <w:highlight w:val="none"/>
                <w:shd w:val="clear" w:color="auto" w:fill="auto"/>
              </w:rPr>
            </w:pPr>
            <w:r>
              <w:rPr>
                <w:rFonts w:hint="eastAsia" w:ascii="仿宋_GB2312" w:hAnsi="仿宋_GB2312" w:eastAsia="仿宋_GB2312"/>
                <w:color w:val="auto"/>
                <w:spacing w:val="-2"/>
                <w:sz w:val="24"/>
                <w:highlight w:val="none"/>
                <w:shd w:val="clear" w:color="auto" w:fill="auto"/>
              </w:rPr>
              <w:t>1</w:t>
            </w:r>
            <w:r>
              <w:rPr>
                <w:rFonts w:hint="eastAsia" w:ascii="仿宋_GB2312" w:hAnsi="仿宋_GB2312" w:eastAsia="仿宋_GB2312"/>
                <w:color w:val="auto"/>
                <w:spacing w:val="-2"/>
                <w:sz w:val="24"/>
                <w:highlight w:val="none"/>
                <w:shd w:val="clear" w:color="auto" w:fill="auto"/>
                <w:lang w:val="en-US" w:eastAsia="zh-CN"/>
              </w:rPr>
              <w:t>5</w:t>
            </w:r>
            <w:r>
              <w:rPr>
                <w:rFonts w:ascii="仿宋_GB2312" w:hAnsi="仿宋_GB2312" w:eastAsia="仿宋_GB2312"/>
                <w:color w:val="auto"/>
                <w:spacing w:val="-2"/>
                <w:sz w:val="24"/>
                <w:highlight w:val="none"/>
                <w:shd w:val="clear" w:color="auto" w:fill="auto"/>
              </w:rPr>
              <w:t>%</w:t>
            </w:r>
          </w:p>
          <w:p>
            <w:pPr>
              <w:jc w:val="center"/>
              <w:rPr>
                <w:rFonts w:ascii="仿宋_GB2312" w:hAnsi="仿宋_GB2312" w:eastAsia="仿宋_GB2312"/>
                <w:color w:val="auto"/>
                <w:spacing w:val="-2"/>
                <w:sz w:val="24"/>
                <w:highlight w:val="none"/>
                <w:shd w:val="clear" w:color="auto" w:fill="auto"/>
              </w:rPr>
            </w:pPr>
          </w:p>
        </w:tc>
        <w:tc>
          <w:tcPr>
            <w:tcW w:w="4678"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highlight w:val="none"/>
                <w:shd w:val="clear" w:color="auto" w:fill="auto"/>
              </w:rPr>
            </w:pPr>
            <w:r>
              <w:rPr>
                <w:rFonts w:hint="eastAsia" w:ascii="仿宋_GB2312" w:hAnsi="仿宋_GB2312" w:eastAsia="仿宋_GB2312"/>
                <w:color w:val="auto"/>
                <w:spacing w:val="-2"/>
                <w:sz w:val="24"/>
                <w:highlight w:val="none"/>
                <w:shd w:val="clear" w:color="auto" w:fill="auto"/>
              </w:rPr>
              <w:t>在机</w:t>
            </w:r>
            <w:r>
              <w:rPr>
                <w:rFonts w:hint="eastAsia" w:ascii="仿宋_GB2312" w:hAnsi="仿宋_GB2312" w:eastAsia="仿宋_GB2312"/>
                <w:color w:val="auto"/>
                <w:spacing w:val="-2"/>
                <w:sz w:val="24"/>
                <w:highlight w:val="none"/>
                <w:shd w:val="clear" w:color="auto" w:fill="auto"/>
                <w:lang w:eastAsia="zh-CN"/>
              </w:rPr>
              <w:t>检测</w:t>
            </w:r>
            <w:r>
              <w:rPr>
                <w:rFonts w:hint="eastAsia" w:ascii="仿宋_GB2312" w:hAnsi="仿宋_GB2312" w:eastAsia="仿宋_GB2312"/>
                <w:color w:val="auto"/>
                <w:spacing w:val="-2"/>
                <w:sz w:val="24"/>
                <w:highlight w:val="none"/>
                <w:shd w:val="clear" w:color="auto" w:fill="auto"/>
              </w:rPr>
              <w:t>结果评判</w:t>
            </w:r>
          </w:p>
        </w:tc>
        <w:tc>
          <w:tcPr>
            <w:tcW w:w="851" w:type="dxa"/>
            <w:tcBorders>
              <w:top w:val="single" w:color="000000" w:sz="4" w:space="0"/>
              <w:left w:val="single" w:color="000000" w:sz="4" w:space="0"/>
              <w:bottom w:val="single" w:color="auto" w:sz="4" w:space="0"/>
              <w:right w:val="single" w:color="000000" w:sz="12" w:space="0"/>
            </w:tcBorders>
            <w:tcMar>
              <w:top w:w="0" w:type="dxa"/>
              <w:left w:w="108" w:type="dxa"/>
              <w:bottom w:w="0" w:type="dxa"/>
              <w:right w:w="108" w:type="dxa"/>
            </w:tcMar>
            <w:vAlign w:val="center"/>
          </w:tcPr>
          <w:p>
            <w:pPr>
              <w:jc w:val="center"/>
              <w:rPr>
                <w:rFonts w:hint="default" w:ascii="宋体" w:eastAsia="宋体"/>
                <w:color w:val="auto"/>
                <w:sz w:val="20"/>
                <w:highlight w:val="none"/>
                <w:shd w:val="clear" w:color="auto" w:fill="auto"/>
                <w:lang w:val="en-US" w:eastAsia="zh-CN"/>
              </w:rPr>
            </w:pPr>
            <w:r>
              <w:rPr>
                <w:rFonts w:hint="eastAsia" w:ascii="宋体"/>
                <w:color w:val="auto"/>
                <w:sz w:val="24"/>
                <w:highlight w:val="none"/>
                <w:shd w:val="clear" w:color="auto" w:fill="auto"/>
                <w:lang w:val="en-US" w:eastAsia="zh-CN"/>
              </w:rPr>
              <w:t>15</w:t>
            </w:r>
          </w:p>
        </w:tc>
      </w:tr>
      <w:tr>
        <w:tblPrEx>
          <w:tblCellMar>
            <w:top w:w="0" w:type="dxa"/>
            <w:left w:w="108" w:type="dxa"/>
            <w:bottom w:w="0" w:type="dxa"/>
            <w:right w:w="108" w:type="dxa"/>
          </w:tblCellMar>
        </w:tblPrEx>
        <w:trPr>
          <w:trHeight w:val="910" w:hRule="atLeast"/>
        </w:trPr>
        <w:tc>
          <w:tcPr>
            <w:tcW w:w="709" w:type="dxa"/>
            <w:tcBorders>
              <w:top w:val="single" w:color="000000" w:sz="4" w:space="0"/>
              <w:left w:val="single" w:color="000000" w:sz="12" w:space="0"/>
              <w:right w:val="single" w:color="000000" w:sz="4"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highlight w:val="none"/>
                <w:shd w:val="clear" w:color="auto" w:fill="auto"/>
                <w:lang w:eastAsia="zh-CN"/>
              </w:rPr>
            </w:pPr>
            <w:r>
              <w:rPr>
                <w:rFonts w:hint="eastAsia" w:ascii="仿宋_GB2312" w:hAnsi="仿宋_GB2312" w:eastAsia="仿宋_GB2312"/>
                <w:color w:val="auto"/>
                <w:spacing w:val="-2"/>
                <w:sz w:val="24"/>
                <w:highlight w:val="none"/>
                <w:shd w:val="clear" w:color="auto" w:fill="auto"/>
                <w:lang w:val="en-US" w:eastAsia="zh-CN"/>
              </w:rPr>
              <w:t>4</w:t>
            </w:r>
          </w:p>
        </w:tc>
        <w:tc>
          <w:tcPr>
            <w:tcW w:w="1418"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spacing w:line="360" w:lineRule="exact"/>
              <w:jc w:val="center"/>
              <w:rPr>
                <w:rFonts w:hint="eastAsia" w:ascii="仿宋_GB2312" w:hAnsi="仿宋_GB2312" w:eastAsia="仿宋_GB2312"/>
                <w:color w:val="auto"/>
                <w:spacing w:val="-2"/>
                <w:sz w:val="24"/>
                <w:highlight w:val="none"/>
                <w:shd w:val="clear" w:color="auto" w:fill="auto"/>
                <w:lang w:eastAsia="zh-CN"/>
              </w:rPr>
            </w:pPr>
            <w:r>
              <w:rPr>
                <w:rFonts w:hint="eastAsia" w:ascii="仿宋_GB2312" w:hAnsi="仿宋_GB2312" w:eastAsia="仿宋_GB2312"/>
                <w:color w:val="auto"/>
                <w:spacing w:val="-2"/>
                <w:sz w:val="24"/>
                <w:highlight w:val="none"/>
                <w:shd w:val="clear" w:color="auto" w:fill="auto"/>
                <w:lang w:eastAsia="zh-CN"/>
              </w:rPr>
              <w:t>装配</w:t>
            </w:r>
          </w:p>
        </w:tc>
        <w:tc>
          <w:tcPr>
            <w:tcW w:w="708"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highlight w:val="none"/>
                <w:shd w:val="clear" w:color="auto" w:fill="auto"/>
              </w:rPr>
            </w:pPr>
            <w:r>
              <w:rPr>
                <w:rFonts w:hint="eastAsia" w:ascii="仿宋_GB2312" w:hAnsi="仿宋_GB2312" w:eastAsia="仿宋_GB2312"/>
                <w:color w:val="auto"/>
                <w:spacing w:val="-2"/>
                <w:sz w:val="24"/>
                <w:highlight w:val="none"/>
                <w:shd w:val="clear" w:color="auto" w:fill="auto"/>
                <w:lang w:val="en-US" w:eastAsia="zh-CN"/>
              </w:rPr>
              <w:t>10</w:t>
            </w:r>
            <w:r>
              <w:rPr>
                <w:rFonts w:ascii="仿宋_GB2312" w:hAnsi="仿宋_GB2312" w:eastAsia="仿宋_GB2312"/>
                <w:color w:val="auto"/>
                <w:spacing w:val="-2"/>
                <w:sz w:val="24"/>
                <w:highlight w:val="none"/>
                <w:shd w:val="clear" w:color="auto" w:fill="auto"/>
              </w:rPr>
              <w:t>%</w:t>
            </w:r>
          </w:p>
        </w:tc>
        <w:tc>
          <w:tcPr>
            <w:tcW w:w="46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highlight w:val="none"/>
                <w:shd w:val="clear" w:color="auto" w:fill="auto"/>
              </w:rPr>
            </w:pPr>
            <w:r>
              <w:rPr>
                <w:rFonts w:hint="eastAsia" w:ascii="仿宋_GB2312" w:hAnsi="仿宋_GB2312" w:eastAsia="仿宋_GB2312"/>
                <w:color w:val="auto"/>
                <w:spacing w:val="-2"/>
                <w:sz w:val="24"/>
                <w:highlight w:val="none"/>
                <w:shd w:val="clear" w:color="auto" w:fill="auto"/>
                <w:lang w:val="en-US" w:eastAsia="zh-CN"/>
              </w:rPr>
              <w:t>重量检测、结构完整性检测、装配体尺寸检测、顺畅性检测、叶轮轴跳动检测</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jc w:val="center"/>
              <w:rPr>
                <w:rFonts w:hint="default" w:ascii="仿宋_GB2312" w:hAnsi="仿宋_GB2312" w:eastAsia="仿宋_GB2312"/>
                <w:color w:val="auto"/>
                <w:spacing w:val="-2"/>
                <w:sz w:val="24"/>
                <w:highlight w:val="none"/>
                <w:shd w:val="clear" w:color="auto" w:fill="auto"/>
                <w:lang w:val="en-US" w:eastAsia="zh-CN"/>
              </w:rPr>
            </w:pPr>
            <w:r>
              <w:rPr>
                <w:rFonts w:hint="eastAsia" w:ascii="仿宋_GB2312" w:hAnsi="仿宋_GB2312" w:eastAsia="仿宋_GB2312"/>
                <w:color w:val="auto"/>
                <w:spacing w:val="-2"/>
                <w:sz w:val="24"/>
                <w:highlight w:val="none"/>
                <w:shd w:val="clear" w:color="auto" w:fill="auto"/>
                <w:lang w:val="en-US" w:eastAsia="zh-CN"/>
              </w:rPr>
              <w:t>10</w:t>
            </w:r>
          </w:p>
        </w:tc>
      </w:tr>
      <w:tr>
        <w:tblPrEx>
          <w:tblCellMar>
            <w:top w:w="0" w:type="dxa"/>
            <w:left w:w="108" w:type="dxa"/>
            <w:bottom w:w="0" w:type="dxa"/>
            <w:right w:w="108" w:type="dxa"/>
          </w:tblCellMar>
        </w:tblPrEx>
        <w:trPr>
          <w:trHeight w:val="637" w:hRule="atLeast"/>
        </w:trPr>
        <w:tc>
          <w:tcPr>
            <w:tcW w:w="709" w:type="dxa"/>
            <w:vMerge w:val="restart"/>
            <w:tcBorders>
              <w:top w:val="single" w:color="auto" w:sz="4" w:space="0"/>
              <w:left w:val="single" w:color="000000" w:sz="12" w:space="0"/>
              <w:right w:val="single" w:color="000000" w:sz="4"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lang w:val="en-US" w:eastAsia="zh-CN"/>
              </w:rPr>
            </w:pPr>
            <w:r>
              <w:rPr>
                <w:rFonts w:hint="eastAsia" w:ascii="仿宋_GB2312" w:hAnsi="仿宋_GB2312" w:eastAsia="仿宋_GB2312"/>
                <w:color w:val="auto"/>
                <w:spacing w:val="-2"/>
                <w:sz w:val="24"/>
                <w:shd w:val="clear" w:color="auto" w:fill="auto"/>
                <w:lang w:val="en-US" w:eastAsia="zh-CN"/>
              </w:rPr>
              <w:t>5</w:t>
            </w:r>
          </w:p>
        </w:tc>
        <w:tc>
          <w:tcPr>
            <w:tcW w:w="1418" w:type="dxa"/>
            <w:vMerge w:val="restart"/>
            <w:tcBorders>
              <w:top w:val="single" w:color="auto" w:sz="4" w:space="0"/>
              <w:left w:val="single" w:color="000000" w:sz="4" w:space="0"/>
              <w:right w:val="single" w:color="000000" w:sz="4" w:space="0"/>
            </w:tcBorders>
            <w:tcMar>
              <w:top w:w="0" w:type="dxa"/>
              <w:left w:w="108" w:type="dxa"/>
              <w:bottom w:w="0" w:type="dxa"/>
              <w:right w:w="108" w:type="dxa"/>
            </w:tcMar>
            <w:vAlign w:val="center"/>
          </w:tcPr>
          <w:p>
            <w:pPr>
              <w:spacing w:line="360" w:lineRule="exact"/>
              <w:jc w:val="center"/>
              <w:rPr>
                <w:rFonts w:ascii="仿宋_GB2312" w:hAnsi="仿宋_GB2312" w:eastAsia="仿宋_GB2312"/>
                <w:color w:val="auto"/>
                <w:spacing w:val="-2"/>
                <w:sz w:val="24"/>
                <w:shd w:val="clear" w:color="auto" w:fill="auto"/>
              </w:rPr>
            </w:pPr>
            <w:r>
              <w:rPr>
                <w:rFonts w:hint="eastAsia" w:ascii="仿宋_GB2312" w:hAnsi="仿宋_GB2312" w:eastAsia="仿宋_GB2312"/>
                <w:color w:val="auto"/>
                <w:spacing w:val="-2"/>
                <w:sz w:val="24"/>
                <w:shd w:val="clear" w:color="auto" w:fill="auto"/>
              </w:rPr>
              <w:t>职业素养与操作安全</w:t>
            </w:r>
          </w:p>
        </w:tc>
        <w:tc>
          <w:tcPr>
            <w:tcW w:w="708" w:type="dxa"/>
            <w:vMerge w:val="restart"/>
            <w:tcBorders>
              <w:top w:val="single" w:color="auto" w:sz="4" w:space="0"/>
              <w:left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shd w:val="clear" w:color="auto" w:fill="auto"/>
              </w:rPr>
            </w:pPr>
            <w:r>
              <w:rPr>
                <w:rFonts w:hint="eastAsia" w:ascii="仿宋_GB2312" w:hAnsi="仿宋_GB2312" w:eastAsia="仿宋_GB2312"/>
                <w:color w:val="auto"/>
                <w:spacing w:val="-2"/>
                <w:sz w:val="24"/>
                <w:shd w:val="clear" w:color="auto" w:fill="auto"/>
              </w:rPr>
              <w:t>5</w:t>
            </w:r>
            <w:r>
              <w:rPr>
                <w:rFonts w:ascii="仿宋_GB2312" w:hAnsi="仿宋_GB2312" w:eastAsia="仿宋_GB2312"/>
                <w:color w:val="auto"/>
                <w:spacing w:val="-2"/>
                <w:sz w:val="24"/>
                <w:shd w:val="clear" w:color="auto" w:fill="auto"/>
              </w:rPr>
              <w:t>%</w:t>
            </w:r>
          </w:p>
        </w:tc>
        <w:tc>
          <w:tcPr>
            <w:tcW w:w="4678"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rPr>
            </w:pPr>
            <w:r>
              <w:rPr>
                <w:rFonts w:hint="eastAsia" w:ascii="仿宋_GB2312" w:hAnsi="仿宋_GB2312" w:eastAsia="仿宋_GB2312"/>
                <w:color w:val="auto"/>
                <w:spacing w:val="-2"/>
                <w:sz w:val="24"/>
                <w:szCs w:val="22"/>
                <w:shd w:val="clear" w:color="auto" w:fill="auto"/>
              </w:rPr>
              <w:t>公平竞赛，遵守赛场纪律，服从裁判</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rPr>
            </w:pPr>
            <w:r>
              <w:rPr>
                <w:rFonts w:hint="eastAsia" w:ascii="仿宋_GB2312" w:hAnsi="仿宋_GB2312" w:eastAsia="仿宋_GB2312"/>
                <w:color w:val="auto"/>
                <w:spacing w:val="-2"/>
                <w:sz w:val="24"/>
                <w:shd w:val="clear" w:color="auto" w:fill="auto"/>
              </w:rPr>
              <w:t>1</w:t>
            </w:r>
          </w:p>
        </w:tc>
      </w:tr>
      <w:tr>
        <w:tblPrEx>
          <w:tblCellMar>
            <w:top w:w="0" w:type="dxa"/>
            <w:left w:w="108" w:type="dxa"/>
            <w:bottom w:w="0" w:type="dxa"/>
            <w:right w:w="108" w:type="dxa"/>
          </w:tblCellMar>
        </w:tblPrEx>
        <w:trPr>
          <w:trHeight w:val="637" w:hRule="atLeast"/>
        </w:trPr>
        <w:tc>
          <w:tcPr>
            <w:tcW w:w="709" w:type="dxa"/>
            <w:vMerge w:val="continue"/>
            <w:tcBorders>
              <w:left w:val="single" w:color="000000" w:sz="12"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shd w:val="clear" w:color="auto" w:fill="auto"/>
              </w:rPr>
            </w:pPr>
          </w:p>
        </w:tc>
        <w:tc>
          <w:tcPr>
            <w:tcW w:w="1418" w:type="dxa"/>
            <w:vMerge w:val="continue"/>
            <w:tcBorders>
              <w:left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shd w:val="clear" w:color="auto" w:fill="auto"/>
              </w:rPr>
            </w:pPr>
          </w:p>
        </w:tc>
        <w:tc>
          <w:tcPr>
            <w:tcW w:w="708" w:type="dxa"/>
            <w:vMerge w:val="continue"/>
            <w:tcBorders>
              <w:left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shd w:val="clear" w:color="auto" w:fill="auto"/>
              </w:rPr>
            </w:pPr>
          </w:p>
        </w:tc>
        <w:tc>
          <w:tcPr>
            <w:tcW w:w="46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rPr>
            </w:pPr>
            <w:r>
              <w:rPr>
                <w:rFonts w:hint="eastAsia" w:ascii="仿宋_GB2312" w:hAnsi="仿宋_GB2312" w:eastAsia="仿宋_GB2312"/>
                <w:color w:val="auto"/>
                <w:spacing w:val="-2"/>
                <w:sz w:val="24"/>
                <w:szCs w:val="22"/>
                <w:shd w:val="clear" w:color="auto" w:fill="auto"/>
              </w:rPr>
              <w:t>现场工具摆放整齐</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rPr>
            </w:pPr>
            <w:r>
              <w:rPr>
                <w:rFonts w:hint="eastAsia" w:ascii="仿宋_GB2312" w:hAnsi="仿宋_GB2312" w:eastAsia="仿宋_GB2312"/>
                <w:color w:val="auto"/>
                <w:spacing w:val="-2"/>
                <w:sz w:val="24"/>
                <w:shd w:val="clear" w:color="auto" w:fill="auto"/>
              </w:rPr>
              <w:t>1</w:t>
            </w:r>
          </w:p>
        </w:tc>
      </w:tr>
      <w:tr>
        <w:tblPrEx>
          <w:tblCellMar>
            <w:top w:w="0" w:type="dxa"/>
            <w:left w:w="108" w:type="dxa"/>
            <w:bottom w:w="0" w:type="dxa"/>
            <w:right w:w="108" w:type="dxa"/>
          </w:tblCellMar>
        </w:tblPrEx>
        <w:trPr>
          <w:trHeight w:val="637" w:hRule="atLeast"/>
        </w:trPr>
        <w:tc>
          <w:tcPr>
            <w:tcW w:w="709" w:type="dxa"/>
            <w:vMerge w:val="continue"/>
            <w:tcBorders>
              <w:left w:val="single" w:color="000000" w:sz="12"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shd w:val="clear" w:color="auto" w:fill="auto"/>
              </w:rPr>
            </w:pPr>
          </w:p>
        </w:tc>
        <w:tc>
          <w:tcPr>
            <w:tcW w:w="1418" w:type="dxa"/>
            <w:vMerge w:val="continue"/>
            <w:tcBorders>
              <w:left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shd w:val="clear" w:color="auto" w:fill="auto"/>
              </w:rPr>
            </w:pPr>
          </w:p>
        </w:tc>
        <w:tc>
          <w:tcPr>
            <w:tcW w:w="708" w:type="dxa"/>
            <w:vMerge w:val="continue"/>
            <w:tcBorders>
              <w:left w:val="single" w:color="000000" w:sz="4"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shd w:val="clear" w:color="auto" w:fill="auto"/>
              </w:rPr>
            </w:pPr>
          </w:p>
        </w:tc>
        <w:tc>
          <w:tcPr>
            <w:tcW w:w="467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rPr>
            </w:pPr>
            <w:r>
              <w:rPr>
                <w:rFonts w:hint="eastAsia" w:ascii="仿宋_GB2312" w:hAnsi="仿宋_GB2312" w:eastAsia="仿宋_GB2312"/>
                <w:color w:val="auto"/>
                <w:spacing w:val="-2"/>
                <w:sz w:val="24"/>
                <w:shd w:val="clear" w:color="auto" w:fill="auto"/>
              </w:rPr>
              <w:t>场地清洁，现场安全、文明生产</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rPr>
            </w:pPr>
            <w:r>
              <w:rPr>
                <w:rFonts w:hint="eastAsia" w:ascii="仿宋_GB2312" w:hAnsi="仿宋_GB2312" w:eastAsia="仿宋_GB2312"/>
                <w:color w:val="auto"/>
                <w:spacing w:val="-2"/>
                <w:sz w:val="24"/>
                <w:shd w:val="clear" w:color="auto" w:fill="auto"/>
              </w:rPr>
              <w:t>1</w:t>
            </w:r>
          </w:p>
        </w:tc>
      </w:tr>
      <w:tr>
        <w:tblPrEx>
          <w:tblCellMar>
            <w:top w:w="0" w:type="dxa"/>
            <w:left w:w="108" w:type="dxa"/>
            <w:bottom w:w="0" w:type="dxa"/>
            <w:right w:w="108" w:type="dxa"/>
          </w:tblCellMar>
        </w:tblPrEx>
        <w:trPr>
          <w:trHeight w:val="637" w:hRule="atLeast"/>
        </w:trPr>
        <w:tc>
          <w:tcPr>
            <w:tcW w:w="709" w:type="dxa"/>
            <w:vMerge w:val="continue"/>
            <w:tcBorders>
              <w:left w:val="single" w:color="000000" w:sz="12" w:space="0"/>
              <w:bottom w:val="single" w:color="000000" w:sz="12"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shd w:val="clear" w:color="auto" w:fill="auto"/>
              </w:rPr>
            </w:pPr>
          </w:p>
        </w:tc>
        <w:tc>
          <w:tcPr>
            <w:tcW w:w="1418" w:type="dxa"/>
            <w:vMerge w:val="continue"/>
            <w:tcBorders>
              <w:left w:val="single" w:color="000000" w:sz="4" w:space="0"/>
              <w:bottom w:val="single" w:color="000000" w:sz="12"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shd w:val="clear" w:color="auto" w:fill="auto"/>
              </w:rPr>
            </w:pPr>
          </w:p>
        </w:tc>
        <w:tc>
          <w:tcPr>
            <w:tcW w:w="708" w:type="dxa"/>
            <w:vMerge w:val="continue"/>
            <w:tcBorders>
              <w:left w:val="single" w:color="000000" w:sz="4" w:space="0"/>
              <w:bottom w:val="single" w:color="000000" w:sz="12" w:space="0"/>
              <w:right w:val="single" w:color="000000" w:sz="4" w:space="0"/>
            </w:tcBorders>
            <w:tcMar>
              <w:top w:w="0" w:type="dxa"/>
              <w:left w:w="108" w:type="dxa"/>
              <w:bottom w:w="0" w:type="dxa"/>
              <w:right w:w="108" w:type="dxa"/>
            </w:tcMar>
            <w:vAlign w:val="center"/>
          </w:tcPr>
          <w:p>
            <w:pPr>
              <w:jc w:val="center"/>
              <w:rPr>
                <w:rFonts w:ascii="仿宋_GB2312" w:hAnsi="仿宋_GB2312" w:eastAsia="仿宋_GB2312"/>
                <w:color w:val="auto"/>
                <w:spacing w:val="-2"/>
                <w:sz w:val="24"/>
                <w:shd w:val="clear" w:color="auto" w:fill="auto"/>
              </w:rPr>
            </w:pPr>
          </w:p>
        </w:tc>
        <w:tc>
          <w:tcPr>
            <w:tcW w:w="4678" w:type="dxa"/>
            <w:tcBorders>
              <w:top w:val="single" w:color="000000" w:sz="4" w:space="0"/>
              <w:left w:val="single" w:color="000000" w:sz="4" w:space="0"/>
              <w:bottom w:val="single" w:color="000000" w:sz="12" w:space="0"/>
              <w:right w:val="single" w:color="000000" w:sz="4"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rPr>
            </w:pPr>
            <w:r>
              <w:rPr>
                <w:rFonts w:hint="eastAsia" w:ascii="仿宋_GB2312" w:hAnsi="仿宋_GB2312" w:eastAsia="仿宋_GB2312"/>
                <w:color w:val="auto"/>
                <w:spacing w:val="-2"/>
                <w:sz w:val="24"/>
                <w:shd w:val="clear" w:color="auto" w:fill="auto"/>
              </w:rPr>
              <w:t>遵守机床安全操作规程</w:t>
            </w:r>
          </w:p>
        </w:tc>
        <w:tc>
          <w:tcPr>
            <w:tcW w:w="851" w:type="dxa"/>
            <w:tcBorders>
              <w:top w:val="single" w:color="000000" w:sz="4" w:space="0"/>
              <w:left w:val="single" w:color="000000" w:sz="4" w:space="0"/>
              <w:bottom w:val="single" w:color="000000" w:sz="12" w:space="0"/>
              <w:right w:val="single" w:color="000000" w:sz="12" w:space="0"/>
            </w:tcBorders>
            <w:tcMar>
              <w:top w:w="0" w:type="dxa"/>
              <w:left w:w="108" w:type="dxa"/>
              <w:bottom w:w="0" w:type="dxa"/>
              <w:right w:w="108" w:type="dxa"/>
            </w:tcMar>
            <w:vAlign w:val="center"/>
          </w:tcPr>
          <w:p>
            <w:pPr>
              <w:jc w:val="center"/>
              <w:rPr>
                <w:rFonts w:hint="eastAsia" w:ascii="仿宋_GB2312" w:hAnsi="仿宋_GB2312" w:eastAsia="仿宋_GB2312"/>
                <w:color w:val="auto"/>
                <w:spacing w:val="-2"/>
                <w:sz w:val="24"/>
                <w:shd w:val="clear" w:color="auto" w:fill="auto"/>
              </w:rPr>
            </w:pPr>
            <w:r>
              <w:rPr>
                <w:rFonts w:hint="eastAsia" w:ascii="仿宋_GB2312" w:hAnsi="仿宋_GB2312" w:eastAsia="仿宋_GB2312"/>
                <w:color w:val="auto"/>
                <w:spacing w:val="-2"/>
                <w:sz w:val="24"/>
                <w:shd w:val="clear" w:color="auto" w:fill="auto"/>
              </w:rPr>
              <w:t>2</w:t>
            </w:r>
          </w:p>
        </w:tc>
      </w:tr>
    </w:tbl>
    <w:p>
      <w:pPr>
        <w:snapToGrid w:val="0"/>
        <w:spacing w:line="540" w:lineRule="exact"/>
        <w:ind w:firstLine="600" w:firstLineChars="200"/>
        <w:rPr>
          <w:rFonts w:ascii="楷体" w:hAnsi="楷体" w:eastAsia="楷体" w:cs="仿宋"/>
          <w:color w:val="auto"/>
          <w:sz w:val="30"/>
          <w:szCs w:val="30"/>
        </w:rPr>
      </w:pPr>
      <w:r>
        <w:rPr>
          <w:rFonts w:hint="eastAsia" w:ascii="楷体" w:hAnsi="楷体" w:eastAsia="楷体" w:cs="仿宋"/>
          <w:color w:val="auto"/>
          <w:sz w:val="30"/>
          <w:szCs w:val="30"/>
        </w:rPr>
        <w:t>（三）奖项设置</w:t>
      </w:r>
    </w:p>
    <w:p>
      <w:pPr>
        <w:pStyle w:val="13"/>
        <w:tabs>
          <w:tab w:val="left" w:pos="425"/>
        </w:tabs>
        <w:spacing w:line="560" w:lineRule="exact"/>
        <w:ind w:firstLine="600" w:firstLineChars="200"/>
        <w:jc w:val="left"/>
        <w:outlineLvl w:val="2"/>
        <w:rPr>
          <w:rFonts w:ascii="仿宋_GB2312" w:hAnsi="宋体" w:eastAsia="仿宋_GB2312"/>
          <w:color w:val="auto"/>
          <w:sz w:val="30"/>
          <w:szCs w:val="30"/>
        </w:rPr>
      </w:pPr>
      <w:r>
        <w:rPr>
          <w:rFonts w:hint="eastAsia" w:ascii="仿宋_GB2312" w:hAnsi="宋体" w:eastAsia="仿宋_GB2312"/>
          <w:color w:val="auto"/>
          <w:sz w:val="30"/>
          <w:szCs w:val="30"/>
        </w:rPr>
        <w:t>1.赛项设个人</w:t>
      </w:r>
      <w:r>
        <w:rPr>
          <w:rFonts w:ascii="仿宋_GB2312" w:hAnsi="宋体" w:eastAsia="仿宋_GB2312"/>
          <w:color w:val="auto"/>
          <w:sz w:val="30"/>
          <w:szCs w:val="30"/>
        </w:rPr>
        <w:t>一、二、三等奖。</w:t>
      </w:r>
      <w:r>
        <w:rPr>
          <w:rFonts w:hint="eastAsia" w:ascii="仿宋_GB2312" w:hAnsi="宋体" w:eastAsia="仿宋_GB2312"/>
          <w:color w:val="auto"/>
          <w:sz w:val="30"/>
          <w:szCs w:val="30"/>
        </w:rPr>
        <w:t>按照竞赛总成绩由高到低排序，</w:t>
      </w:r>
      <w:r>
        <w:rPr>
          <w:rFonts w:ascii="仿宋_GB2312" w:hAnsi="宋体" w:eastAsia="仿宋_GB2312"/>
          <w:color w:val="auto"/>
          <w:sz w:val="30"/>
          <w:szCs w:val="30"/>
        </w:rPr>
        <w:t>以实际参赛队总数为基数，一、二、三等奖获奖比例分别为10%、2</w:t>
      </w:r>
      <w:r>
        <w:rPr>
          <w:rFonts w:hint="eastAsia" w:ascii="仿宋_GB2312" w:hAnsi="宋体" w:eastAsia="仿宋_GB2312"/>
          <w:color w:val="auto"/>
          <w:sz w:val="30"/>
          <w:szCs w:val="30"/>
        </w:rPr>
        <w:t>5</w:t>
      </w:r>
      <w:r>
        <w:rPr>
          <w:rFonts w:ascii="仿宋_GB2312" w:hAnsi="宋体" w:eastAsia="仿宋_GB2312"/>
          <w:color w:val="auto"/>
          <w:sz w:val="30"/>
          <w:szCs w:val="30"/>
        </w:rPr>
        <w:t>%、3</w:t>
      </w:r>
      <w:r>
        <w:rPr>
          <w:rFonts w:hint="eastAsia" w:ascii="仿宋_GB2312" w:hAnsi="宋体" w:eastAsia="仿宋_GB2312"/>
          <w:color w:val="auto"/>
          <w:sz w:val="30"/>
          <w:szCs w:val="30"/>
        </w:rPr>
        <w:t>5</w:t>
      </w:r>
      <w:r>
        <w:rPr>
          <w:rFonts w:ascii="仿宋_GB2312" w:hAnsi="宋体" w:eastAsia="仿宋_GB2312"/>
          <w:color w:val="auto"/>
          <w:sz w:val="30"/>
          <w:szCs w:val="30"/>
        </w:rPr>
        <w:t>%（小数点后四舍五入）。</w:t>
      </w:r>
      <w:r>
        <w:rPr>
          <w:rFonts w:hint="eastAsia" w:ascii="仿宋_GB2312" w:hAnsi="宋体" w:eastAsia="仿宋_GB2312"/>
          <w:color w:val="auto"/>
          <w:sz w:val="30"/>
          <w:szCs w:val="30"/>
        </w:rPr>
        <w:t>当总分相同时，取并列名次。</w:t>
      </w:r>
    </w:p>
    <w:p>
      <w:pPr>
        <w:snapToGrid w:val="0"/>
        <w:spacing w:line="540" w:lineRule="exact"/>
        <w:ind w:firstLine="602" w:firstLineChars="200"/>
        <w:rPr>
          <w:rFonts w:ascii="Arial Narrow" w:hAnsi="Arial Narrow" w:eastAsia="仿宋_GB2312" w:cs="Arial"/>
          <w:b/>
          <w:bCs/>
          <w:color w:val="auto"/>
          <w:sz w:val="30"/>
          <w:szCs w:val="30"/>
        </w:rPr>
      </w:pPr>
      <w:r>
        <w:rPr>
          <w:rFonts w:hint="eastAsia" w:ascii="Arial Narrow" w:hAnsi="Arial Narrow" w:eastAsia="仿宋_GB2312" w:cs="Arial"/>
          <w:b/>
          <w:bCs/>
          <w:color w:val="auto"/>
          <w:sz w:val="30"/>
          <w:szCs w:val="30"/>
        </w:rPr>
        <w:t>九、赛项安全</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（一）赛场所有人员（赛场管理与组织人员、裁判员、参赛员以及观摩人员）不得在竞赛现场内外吸烟，不听劝阻者给予通报批评或清退竞赛现场，造成严重后果的将依法处理。</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（二）未经允许不得使用和移动竞赛场内的任何设施设备（包括消防器材等），工具使用后放回原处。</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（三）选手在竞赛中必须遵守赛场的各项规章制度和操作规程，安全、合理的使用各种设施设备和工具，出现严重违章操作加工设备的，裁判视情节轻重进行批评和终止竞赛。</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（四）选手参加实际操作竞赛前，应由参赛校进行安全教育。竞赛中如发现问题应及时解决，无法解决的问题应及时向裁判员报告，裁判员视情况予以判定，并协调处理。</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pPr>
        <w:pStyle w:val="2"/>
        <w:spacing w:line="540" w:lineRule="exact"/>
        <w:ind w:firstLine="585"/>
        <w:rPr>
          <w:rFonts w:ascii="Arial Narrow" w:hAnsi="Arial Narrow" w:eastAsia="仿宋_GB2312" w:cs="Arial"/>
          <w:color w:val="auto"/>
          <w:sz w:val="30"/>
          <w:szCs w:val="30"/>
        </w:rPr>
      </w:pPr>
      <w:r>
        <w:rPr>
          <w:rFonts w:hint="eastAsia" w:ascii="仿宋_GB2312" w:hAnsi="仿宋_GB2312" w:eastAsia="仿宋_GB2312" w:cs="仿宋_GB2312"/>
          <w:color w:val="auto"/>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pPr>
        <w:snapToGrid w:val="0"/>
        <w:spacing w:line="540" w:lineRule="exact"/>
        <w:ind w:firstLine="602" w:firstLineChars="200"/>
        <w:rPr>
          <w:rFonts w:ascii="Arial Narrow" w:hAnsi="Arial Narrow" w:eastAsia="仿宋_GB2312" w:cs="Arial"/>
          <w:color w:val="auto"/>
          <w:sz w:val="30"/>
          <w:szCs w:val="30"/>
        </w:rPr>
      </w:pPr>
      <w:r>
        <w:rPr>
          <w:rFonts w:hint="eastAsia" w:ascii="Arial Narrow" w:hAnsi="Arial Narrow" w:eastAsia="仿宋_GB2312" w:cs="Arial"/>
          <w:b/>
          <w:bCs/>
          <w:color w:val="auto"/>
          <w:sz w:val="30"/>
          <w:szCs w:val="30"/>
        </w:rPr>
        <w:t>十、竞赛须知</w:t>
      </w:r>
    </w:p>
    <w:p>
      <w:pPr>
        <w:snapToGrid w:val="0"/>
        <w:spacing w:line="540" w:lineRule="exact"/>
        <w:ind w:firstLine="600" w:firstLineChars="200"/>
        <w:rPr>
          <w:rFonts w:ascii="Arial Narrow" w:hAnsi="Arial Narrow" w:eastAsia="仿宋_GB2312" w:cs="Arial"/>
          <w:color w:val="auto"/>
          <w:sz w:val="30"/>
          <w:szCs w:val="30"/>
        </w:rPr>
      </w:pPr>
      <w:r>
        <w:rPr>
          <w:rFonts w:hint="eastAsia" w:ascii="Arial Narrow" w:hAnsi="Arial Narrow" w:eastAsia="仿宋_GB2312" w:cs="Arial"/>
          <w:color w:val="auto"/>
          <w:sz w:val="30"/>
          <w:szCs w:val="30"/>
        </w:rPr>
        <w:t>分别阐述本赛项参赛队、参赛选手、工作人员等应注意的重点事项。对参赛队重点说明参赛学生是否需要购买保险，对指导教师重点说明带队和指导要求，对参赛选手重点说明竞赛纪律和仪表仪容，对工作人员、裁判员重点说明工作规范和纪律等。</w:t>
      </w:r>
    </w:p>
    <w:p>
      <w:pPr>
        <w:snapToGrid w:val="0"/>
        <w:spacing w:line="540" w:lineRule="exact"/>
        <w:ind w:firstLine="602" w:firstLineChars="200"/>
        <w:rPr>
          <w:rFonts w:ascii="Arial Narrow" w:hAnsi="Arial Narrow" w:eastAsia="仿宋_GB2312" w:cs="Arial"/>
          <w:b/>
          <w:bCs/>
          <w:color w:val="auto"/>
          <w:sz w:val="30"/>
          <w:szCs w:val="30"/>
        </w:rPr>
      </w:pPr>
      <w:r>
        <w:rPr>
          <w:rFonts w:hint="eastAsia" w:ascii="Arial Narrow" w:hAnsi="Arial Narrow" w:eastAsia="仿宋_GB2312" w:cs="Arial"/>
          <w:b/>
          <w:bCs/>
          <w:color w:val="auto"/>
          <w:sz w:val="30"/>
          <w:szCs w:val="30"/>
        </w:rPr>
        <w:t>十一、申诉与仲裁</w:t>
      </w:r>
    </w:p>
    <w:p>
      <w:pPr>
        <w:spacing w:line="560" w:lineRule="exact"/>
        <w:ind w:left="420" w:leftChars="200"/>
        <w:rPr>
          <w:rFonts w:ascii="华文楷体" w:hAnsi="华文楷体" w:eastAsia="华文楷体" w:cs="华文楷体"/>
          <w:color w:val="auto"/>
          <w:sz w:val="30"/>
          <w:szCs w:val="30"/>
        </w:rPr>
      </w:pPr>
      <w:r>
        <w:rPr>
          <w:rFonts w:hint="eastAsia" w:ascii="华文楷体" w:hAnsi="华文楷体" w:eastAsia="华文楷体" w:cs="华文楷体"/>
          <w:color w:val="auto"/>
          <w:sz w:val="30"/>
          <w:szCs w:val="30"/>
        </w:rPr>
        <w:t>（一）申诉</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1.参赛队对不符合竞赛规定的设备、工具、软件，有失公正的评判、奖励，以及对工作人员的违规行为等均可提出申诉。</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2.申诉应在竞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3.赛项仲裁工作组收到申诉报告后，应根据申诉事由进行审查，6小时内书面告知申诉处理结果。受理申诉的，须通知申诉方举办听证会的时间和地点。</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4.申诉人不得无故拒收处理结果，不允许采取过激行为，否则视为放弃申诉。</w:t>
      </w:r>
    </w:p>
    <w:p>
      <w:pPr>
        <w:snapToGrid w:val="0"/>
        <w:spacing w:line="560" w:lineRule="exact"/>
        <w:ind w:firstLine="600" w:firstLineChars="200"/>
        <w:rPr>
          <w:rFonts w:ascii="华文楷体" w:hAnsi="华文楷体" w:eastAsia="华文楷体" w:cs="华文楷体"/>
          <w:color w:val="auto"/>
          <w:sz w:val="30"/>
          <w:szCs w:val="30"/>
        </w:rPr>
      </w:pPr>
      <w:r>
        <w:rPr>
          <w:rFonts w:hint="eastAsia" w:ascii="华文楷体" w:hAnsi="华文楷体" w:eastAsia="华文楷体" w:cs="华文楷体"/>
          <w:color w:val="auto"/>
          <w:sz w:val="30"/>
          <w:szCs w:val="30"/>
        </w:rPr>
        <w:t>（二）仲裁</w:t>
      </w:r>
    </w:p>
    <w:p>
      <w:pPr>
        <w:snapToGrid w:val="0"/>
        <w:spacing w:line="54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赛项仲裁工作组接受由代表队提出的对裁判结果的申诉。赛项仲裁工作组在接到申诉后的2小时内组织复议，并及时反馈复议结果。赛项仲裁工作组的裁定为最终裁定。</w:t>
      </w:r>
    </w:p>
    <w:p>
      <w:pPr>
        <w:snapToGrid w:val="0"/>
        <w:spacing w:line="560" w:lineRule="exact"/>
        <w:ind w:firstLine="600" w:firstLineChars="200"/>
        <w:rPr>
          <w:rFonts w:ascii="仿宋_GB2312" w:hAnsi="仿宋_GB2312" w:eastAsia="仿宋_GB2312" w:cs="仿宋_GB2312"/>
          <w:color w:val="auto"/>
          <w:kern w:val="0"/>
          <w:sz w:val="30"/>
          <w:szCs w:val="30"/>
        </w:rPr>
      </w:pPr>
    </w:p>
    <w:p>
      <w:pPr>
        <w:snapToGrid w:val="0"/>
        <w:spacing w:line="540" w:lineRule="exact"/>
        <w:ind w:firstLine="602" w:firstLineChars="200"/>
        <w:rPr>
          <w:rFonts w:ascii="Arial Narrow" w:hAnsi="Arial Narrow" w:eastAsia="仿宋_GB2312" w:cs="Arial"/>
          <w:b/>
          <w:bCs/>
          <w:color w:val="auto"/>
          <w:sz w:val="30"/>
          <w:szCs w:val="30"/>
        </w:rPr>
      </w:pPr>
      <w:r>
        <w:rPr>
          <w:rFonts w:hint="eastAsia" w:ascii="Arial Narrow" w:hAnsi="Arial Narrow" w:eastAsia="仿宋_GB2312" w:cs="Arial"/>
          <w:b/>
          <w:bCs/>
          <w:color w:val="auto"/>
          <w:sz w:val="30"/>
          <w:szCs w:val="30"/>
        </w:rPr>
        <w:t>十二、大赛违规处理规定</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（一）发现参赛选手不符合报名规定条件的、冒名顶替或弄虚作假的，报经大赛组委会核实批准后，一律取消该选手参赛资格，追究有关领导责任并通报批评。</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（二）参赛选手有下列情节之一的，其相应项成绩计为零分：</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1.竞赛期间违规透漏选手或其单位任何信息者。</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2.在竞赛现场内与他人（队）交头接耳，或有偷看、暗示等作弊行为者。</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3.竞赛期间使用通讯工具与他人联系者。</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4.裁判根据大赛要求宣布竞赛结束后，仍强行作答或操作者。</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5.不服从裁判员的裁决，扰乱竞赛秩序，影响竞赛进程，情节恶劣者。</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6.其他违反大赛规则不听劝告者。</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（四）各代表队非参赛人员若违反大赛纪律，将视情节轻重给予警告或通报批评。</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（五）对违反大赛纪律的裁判员、工作人员，由各项目裁判长报经组委会核实批准后，视情节轻重给予警告或取消其裁判资格并通报所在单位。</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（六）非大赛工作人员和参赛选手一律不得超越赛场指定的安全范围，不听劝阻造成后果者，追求其责任，并对其所在单位进行通报批评。</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pPr>
        <w:snapToGrid w:val="0"/>
        <w:spacing w:line="560" w:lineRule="exact"/>
        <w:ind w:firstLine="600" w:firstLineChars="200"/>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pPr>
        <w:snapToGrid w:val="0"/>
        <w:spacing w:line="560" w:lineRule="exact"/>
        <w:ind w:firstLine="600" w:firstLineChars="200"/>
        <w:rPr>
          <w:rFonts w:ascii="仿宋_GB2312" w:hAnsi="仿宋_GB2312" w:eastAsia="仿宋_GB2312" w:cs="仿宋_GB2312"/>
          <w:color w:val="auto"/>
          <w:kern w:val="0"/>
          <w:sz w:val="30"/>
          <w:szCs w:val="30"/>
        </w:rPr>
      </w:pPr>
    </w:p>
    <w:p>
      <w:pPr>
        <w:snapToGrid w:val="0"/>
        <w:spacing w:line="560" w:lineRule="exact"/>
        <w:ind w:firstLine="600" w:firstLineChars="200"/>
        <w:rPr>
          <w:rFonts w:ascii="仿宋_GB2312" w:hAnsi="仿宋_GB2312" w:eastAsia="仿宋_GB2312" w:cs="仿宋_GB2312"/>
          <w:color w:val="auto"/>
          <w:kern w:val="0"/>
          <w:sz w:val="30"/>
          <w:szCs w:val="30"/>
        </w:rPr>
      </w:pPr>
    </w:p>
    <w:p>
      <w:pPr>
        <w:snapToGrid w:val="0"/>
        <w:spacing w:line="560" w:lineRule="exact"/>
        <w:rPr>
          <w:b/>
          <w:color w:val="auto"/>
        </w:rPr>
      </w:pPr>
      <w:r>
        <w:rPr>
          <w:rFonts w:hint="eastAsia" w:ascii="仿宋_GB2312" w:hAnsi="仿宋_GB2312" w:eastAsia="仿宋_GB2312" w:cs="仿宋_GB2312"/>
          <w:b/>
          <w:color w:val="auto"/>
          <w:kern w:val="0"/>
          <w:sz w:val="30"/>
          <w:szCs w:val="30"/>
        </w:rPr>
        <w:t>附：样题</w:t>
      </w:r>
      <w:r>
        <w:rPr>
          <w:rFonts w:hint="eastAsia" w:ascii="仿宋_GB2312" w:hAnsi="仿宋_GB2312" w:eastAsia="仿宋_GB2312" w:cs="仿宋_GB2312"/>
          <w:b/>
          <w:color w:val="auto"/>
          <w:kern w:val="0"/>
          <w:sz w:val="30"/>
          <w:szCs w:val="30"/>
          <w:lang w:val="en-US" w:eastAsia="zh-CN"/>
        </w:rPr>
        <w:t>见附件</w:t>
      </w:r>
    </w:p>
    <w:sectPr>
      <w:footerReference r:id="rId4" w:type="first"/>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FFbJcAJAgAAAQQAAA4AAAAAAAAAAQAgAAAAHwEAAGRy&#10;cy9lMm9Eb2MueG1sUEsFBgAAAAAGAAYAWQEAAJoFAAAAAA==&#10;">
              <v:fill on="f" focussize="0,0"/>
              <v:stroke on="f"/>
              <v:imagedata o:title=""/>
              <o:lock v:ext="edit" aspectratio="f"/>
              <v:textbox inset="0mm,0mm,0mm,0mm" style="mso-fit-shape-to-text:t;">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mPaAEAMCAAAEBAAADgAAAAAAAAABACAAAAAeAQAAZHJzL2Uyb0Rv&#10;Yy54bWxQSwUGAAAAAAYABgBZAQAAkwUAAAAA&#10;">
              <v:fill on="f" focussize="0,0"/>
              <v:stroke on="f"/>
              <v:imagedata o:title=""/>
              <o:lock v:ext="edit" aspectratio="f"/>
              <v:textbox inset="0mm,0mm,0mm,0mm" style="mso-fit-shape-to-text:t;">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0NDY0MzUzOGYxZjNiY2E2MjFlNTZiN2UxMzkzYmIifQ=="/>
  </w:docVars>
  <w:rsids>
    <w:rsidRoot w:val="008766EE"/>
    <w:rsid w:val="0001067D"/>
    <w:rsid w:val="000359DB"/>
    <w:rsid w:val="0017641F"/>
    <w:rsid w:val="001B40B0"/>
    <w:rsid w:val="001B452C"/>
    <w:rsid w:val="001D05B0"/>
    <w:rsid w:val="001D71D3"/>
    <w:rsid w:val="002251A6"/>
    <w:rsid w:val="0025556E"/>
    <w:rsid w:val="00353335"/>
    <w:rsid w:val="003C1F78"/>
    <w:rsid w:val="00406DC0"/>
    <w:rsid w:val="00426D3B"/>
    <w:rsid w:val="00570AB4"/>
    <w:rsid w:val="006E12C3"/>
    <w:rsid w:val="0076637C"/>
    <w:rsid w:val="007719DB"/>
    <w:rsid w:val="00773F16"/>
    <w:rsid w:val="007B01C5"/>
    <w:rsid w:val="008766EE"/>
    <w:rsid w:val="008E524D"/>
    <w:rsid w:val="009228CE"/>
    <w:rsid w:val="0092665D"/>
    <w:rsid w:val="00990A87"/>
    <w:rsid w:val="009A4A35"/>
    <w:rsid w:val="00A633CD"/>
    <w:rsid w:val="00B717DA"/>
    <w:rsid w:val="00B83069"/>
    <w:rsid w:val="00BA7028"/>
    <w:rsid w:val="00BE3059"/>
    <w:rsid w:val="00BF5B7B"/>
    <w:rsid w:val="00CE6234"/>
    <w:rsid w:val="00D457E6"/>
    <w:rsid w:val="00DB0BF4"/>
    <w:rsid w:val="00DD03C1"/>
    <w:rsid w:val="00DD1CAB"/>
    <w:rsid w:val="00DE6EB7"/>
    <w:rsid w:val="00DF5C0B"/>
    <w:rsid w:val="00E42E3B"/>
    <w:rsid w:val="00E735CD"/>
    <w:rsid w:val="00F76572"/>
    <w:rsid w:val="00FE4A80"/>
    <w:rsid w:val="00FE59E1"/>
    <w:rsid w:val="19097221"/>
    <w:rsid w:val="1F6E1F30"/>
    <w:rsid w:val="3DFD643B"/>
    <w:rsid w:val="407105DF"/>
    <w:rsid w:val="4F4D17FD"/>
    <w:rsid w:val="6F8D3411"/>
    <w:rsid w:val="707D5925"/>
    <w:rsid w:val="71F6697E"/>
    <w:rsid w:val="7B567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9"/>
    <w:qFormat/>
    <w:uiPriority w:val="0"/>
    <w:rPr>
      <w:sz w:val="20"/>
      <w:szCs w:val="20"/>
    </w:rPr>
  </w:style>
  <w:style w:type="paragraph" w:styleId="3">
    <w:name w:val="footer"/>
    <w:basedOn w:val="1"/>
    <w:link w:val="8"/>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semiHidden/>
    <w:qFormat/>
    <w:uiPriority w:val="0"/>
    <w:rPr>
      <w:sz w:val="21"/>
      <w:szCs w:val="21"/>
    </w:rPr>
  </w:style>
  <w:style w:type="character" w:customStyle="1" w:styleId="8">
    <w:name w:val="页脚 字符"/>
    <w:link w:val="3"/>
    <w:qFormat/>
    <w:uiPriority w:val="0"/>
    <w:rPr>
      <w:sz w:val="18"/>
      <w:szCs w:val="18"/>
    </w:rPr>
  </w:style>
  <w:style w:type="character" w:customStyle="1" w:styleId="9">
    <w:name w:val="批注文字 字符"/>
    <w:basedOn w:val="6"/>
    <w:link w:val="2"/>
    <w:qFormat/>
    <w:uiPriority w:val="0"/>
    <w:rPr>
      <w:rFonts w:ascii="Calibri" w:hAnsi="Calibri" w:eastAsia="宋体" w:cs="Times New Roman"/>
      <w:sz w:val="20"/>
      <w:szCs w:val="20"/>
    </w:rPr>
  </w:style>
  <w:style w:type="character" w:customStyle="1" w:styleId="10">
    <w:name w:val="页脚 Char1"/>
    <w:basedOn w:val="6"/>
    <w:semiHidden/>
    <w:qFormat/>
    <w:uiPriority w:val="99"/>
    <w:rPr>
      <w:rFonts w:ascii="Calibri" w:hAnsi="Calibri" w:eastAsia="宋体" w:cs="Times New Roman"/>
      <w:sz w:val="18"/>
      <w:szCs w:val="18"/>
    </w:rPr>
  </w:style>
  <w:style w:type="character" w:customStyle="1" w:styleId="11">
    <w:name w:val="页眉 字符"/>
    <w:basedOn w:val="6"/>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样式 黑体 小初 居中 首行缩进:  2 字符"/>
    <w:basedOn w:val="1"/>
    <w:qFormat/>
    <w:uiPriority w:val="0"/>
    <w:pPr>
      <w:jc w:val="center"/>
    </w:pPr>
    <w:rPr>
      <w:rFonts w:ascii="黑体" w:eastAsia="黑体" w:cs="宋体"/>
      <w:sz w:val="7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5447</Words>
  <Characters>5994</Characters>
  <Lines>45</Lines>
  <Paragraphs>12</Paragraphs>
  <TotalTime>2</TotalTime>
  <ScaleCrop>false</ScaleCrop>
  <LinksUpToDate>false</LinksUpToDate>
  <CharactersWithSpaces>6047</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2019-07-29T06:53:00Z</dcterms:created>
  <dc:creator>Administrator</dc:creator>
  <cp:lastModifiedBy>yzy</cp:lastModifiedBy>
  <cp:lastPrinted>2019-07-15T02:35:00Z</cp:lastPrinted>
  <dcterms:modified xsi:type="dcterms:W3CDTF">2023-11-22T04:31:31Z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AD8B65E0D0B7460787CDC478534C1AEF_13</vt:lpwstr>
  </property>
</Properties>
</file>