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 w:cs="仿宋_GB2312"/>
          <w:b/>
          <w:color w:val="auto"/>
          <w:sz w:val="36"/>
          <w:szCs w:val="36"/>
        </w:rPr>
      </w:pPr>
      <w:r>
        <w:rPr>
          <w:rFonts w:hint="eastAsia" w:ascii="黑体" w:hAnsi="黑体" w:eastAsia="黑体" w:cs="仿宋_GB2312"/>
          <w:b/>
          <w:color w:val="auto"/>
          <w:sz w:val="36"/>
          <w:szCs w:val="36"/>
        </w:rPr>
        <w:t>20</w:t>
      </w:r>
      <w:r>
        <w:rPr>
          <w:rFonts w:hint="eastAsia" w:ascii="黑体" w:hAnsi="黑体" w:eastAsia="黑体" w:cs="仿宋_GB2312"/>
          <w:b/>
          <w:color w:val="auto"/>
          <w:sz w:val="36"/>
          <w:szCs w:val="36"/>
          <w:lang w:val="en-US" w:eastAsia="zh-CN"/>
        </w:rPr>
        <w:t>23</w:t>
      </w:r>
      <w:r>
        <w:rPr>
          <w:rFonts w:hint="eastAsia" w:ascii="黑体" w:hAnsi="黑体" w:eastAsia="黑体" w:cs="仿宋_GB2312"/>
          <w:b/>
          <w:color w:val="auto"/>
          <w:sz w:val="36"/>
          <w:szCs w:val="36"/>
        </w:rPr>
        <w:t>年度机械行业职业教育技能大赛</w:t>
      </w:r>
    </w:p>
    <w:p>
      <w:pPr>
        <w:snapToGrid w:val="0"/>
        <w:spacing w:line="540" w:lineRule="exact"/>
        <w:jc w:val="center"/>
        <w:rPr>
          <w:rFonts w:hint="eastAsia" w:ascii="黑体" w:hAnsi="黑体" w:eastAsia="黑体" w:cs="仿宋_GB2312"/>
          <w:b/>
          <w:color w:val="auto"/>
          <w:sz w:val="36"/>
          <w:szCs w:val="36"/>
        </w:rPr>
      </w:pPr>
      <w:r>
        <w:rPr>
          <w:rFonts w:hint="eastAsia" w:ascii="黑体" w:hAnsi="黑体" w:eastAsia="黑体"/>
          <w:b/>
          <w:bCs/>
          <w:color w:val="auto"/>
          <w:sz w:val="36"/>
        </w:rPr>
        <w:t>“精雕杯”</w:t>
      </w:r>
      <w:r>
        <w:rPr>
          <w:rFonts w:hint="eastAsia" w:ascii="黑体" w:hAnsi="黑体" w:eastAsia="黑体"/>
          <w:b/>
          <w:bCs/>
          <w:color w:val="auto"/>
          <w:sz w:val="36"/>
          <w:lang w:val="en-US" w:eastAsia="zh-CN"/>
        </w:rPr>
        <w:t>快速制造与五轴精密加工技术</w:t>
      </w:r>
      <w:r>
        <w:rPr>
          <w:rFonts w:hint="eastAsia" w:ascii="黑体" w:hAnsi="黑体" w:eastAsia="黑体" w:cs="仿宋_GB2312"/>
          <w:b/>
          <w:color w:val="auto"/>
          <w:sz w:val="36"/>
          <w:szCs w:val="36"/>
        </w:rPr>
        <w:t>赛项</w:t>
      </w:r>
    </w:p>
    <w:p>
      <w:pPr>
        <w:snapToGrid w:val="0"/>
        <w:spacing w:line="540" w:lineRule="exact"/>
        <w:jc w:val="center"/>
        <w:rPr>
          <w:rFonts w:ascii="Arial Narrow" w:hAnsi="Arial Narrow" w:eastAsia="黑体"/>
          <w:b/>
          <w:color w:val="auto"/>
          <w:sz w:val="36"/>
          <w:szCs w:val="36"/>
        </w:rPr>
      </w:pPr>
      <w:r>
        <w:rPr>
          <w:rFonts w:hint="eastAsia" w:ascii="黑体" w:hAnsi="黑体" w:eastAsia="黑体" w:cs="仿宋_GB2312"/>
          <w:b/>
          <w:color w:val="auto"/>
          <w:sz w:val="36"/>
          <w:szCs w:val="36"/>
        </w:rPr>
        <w:t>竞赛规程</w:t>
      </w:r>
    </w:p>
    <w:p>
      <w:pPr>
        <w:snapToGrid w:val="0"/>
        <w:spacing w:line="540" w:lineRule="exact"/>
        <w:ind w:firstLine="602" w:firstLineChars="200"/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一、赛项名称</w:t>
      </w:r>
    </w:p>
    <w:p>
      <w:pPr>
        <w:snapToGrid w:val="0"/>
        <w:spacing w:line="540" w:lineRule="exact"/>
        <w:ind w:firstLine="602" w:firstLineChars="200"/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“精雕杯”</w:t>
      </w: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  <w:lang w:val="en-US" w:eastAsia="zh-CN"/>
        </w:rPr>
        <w:t>快速制造与五轴精密加工技术</w:t>
      </w: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(</w:t>
      </w: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  <w:lang w:val="en-US" w:eastAsia="zh-CN"/>
        </w:rPr>
        <w:t>学生</w:t>
      </w: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组)</w:t>
      </w:r>
    </w:p>
    <w:p>
      <w:pPr>
        <w:snapToGrid w:val="0"/>
        <w:spacing w:line="540" w:lineRule="exact"/>
        <w:ind w:firstLine="602" w:firstLineChars="200"/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二、赛项组别及参赛对象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00" w:firstLineChars="200"/>
        <w:textAlignment w:val="auto"/>
        <w:rPr>
          <w:rFonts w:ascii="楷体" w:hAnsi="楷体" w:eastAsia="楷体" w:cs="仿宋"/>
          <w:color w:val="auto"/>
          <w:sz w:val="30"/>
          <w:szCs w:val="30"/>
        </w:rPr>
      </w:pPr>
      <w:r>
        <w:rPr>
          <w:rFonts w:hint="eastAsia" w:ascii="楷体" w:hAnsi="楷体" w:eastAsia="楷体" w:cs="仿宋"/>
          <w:color w:val="auto"/>
          <w:sz w:val="30"/>
          <w:szCs w:val="30"/>
        </w:rPr>
        <w:t>（一）赛项组别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1"/>
        <w:jc w:val="left"/>
        <w:textAlignment w:val="auto"/>
        <w:rPr>
          <w:rFonts w:hint="eastAsia"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学生</w:t>
      </w:r>
      <w:r>
        <w:rPr>
          <w:rFonts w:hint="eastAsia" w:ascii="仿宋_GB2312" w:hAnsi="仿宋_GB2312" w:eastAsia="仿宋_GB2312"/>
          <w:color w:val="auto"/>
          <w:sz w:val="30"/>
        </w:rPr>
        <w:t>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ascii="楷体" w:hAnsi="楷体" w:eastAsia="楷体" w:cs="仿宋"/>
          <w:color w:val="auto"/>
          <w:sz w:val="30"/>
          <w:szCs w:val="30"/>
        </w:rPr>
      </w:pPr>
      <w:r>
        <w:rPr>
          <w:rFonts w:hint="eastAsia" w:ascii="楷体" w:hAnsi="楷体" w:eastAsia="楷体" w:cs="仿宋"/>
          <w:color w:val="auto"/>
          <w:sz w:val="30"/>
          <w:szCs w:val="30"/>
        </w:rPr>
        <w:t>（二）参赛对象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1"/>
        <w:jc w:val="left"/>
        <w:textAlignment w:val="auto"/>
        <w:rPr>
          <w:rFonts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应用型本科、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中、</w:t>
      </w:r>
      <w:r>
        <w:rPr>
          <w:rFonts w:hint="eastAsia" w:ascii="仿宋_GB2312" w:hAnsi="仿宋_GB2312" w:eastAsia="仿宋_GB2312"/>
          <w:color w:val="auto"/>
          <w:sz w:val="30"/>
        </w:rPr>
        <w:t>高职高专、技师学院在籍学生。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textAlignment w:val="auto"/>
        <w:rPr>
          <w:rFonts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三、竞赛拟定时间及地点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00" w:firstLineChars="200"/>
        <w:textAlignment w:val="auto"/>
        <w:rPr>
          <w:rFonts w:ascii="楷体" w:hAnsi="楷体" w:eastAsia="楷体" w:cs="仿宋"/>
          <w:color w:val="auto"/>
          <w:sz w:val="30"/>
          <w:szCs w:val="30"/>
        </w:rPr>
      </w:pPr>
      <w:r>
        <w:rPr>
          <w:rFonts w:hint="eastAsia" w:ascii="楷体" w:hAnsi="楷体" w:eastAsia="楷体" w:cs="仿宋"/>
          <w:color w:val="auto"/>
          <w:sz w:val="30"/>
          <w:szCs w:val="30"/>
        </w:rPr>
        <w:t>（一）</w:t>
      </w:r>
      <w:r>
        <w:rPr>
          <w:rFonts w:hint="eastAsia" w:ascii="楷体" w:hAnsi="楷体" w:eastAsia="楷体" w:cs="仿宋"/>
          <w:color w:val="auto"/>
          <w:sz w:val="30"/>
          <w:szCs w:val="30"/>
          <w:lang w:eastAsia="zh-CN"/>
        </w:rPr>
        <w:t>决</w:t>
      </w:r>
      <w:r>
        <w:rPr>
          <w:rFonts w:hint="eastAsia" w:ascii="楷体" w:hAnsi="楷体" w:eastAsia="楷体" w:cs="仿宋"/>
          <w:color w:val="auto"/>
          <w:sz w:val="30"/>
          <w:szCs w:val="30"/>
        </w:rPr>
        <w:t>赛</w:t>
      </w:r>
      <w:r>
        <w:rPr>
          <w:rFonts w:ascii="楷体" w:hAnsi="楷体" w:eastAsia="楷体" w:cs="仿宋"/>
          <w:color w:val="auto"/>
          <w:sz w:val="30"/>
          <w:szCs w:val="30"/>
        </w:rPr>
        <w:t>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900" w:firstLineChars="300"/>
        <w:textAlignment w:val="auto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202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3</w:t>
      </w:r>
      <w:r>
        <w:rPr>
          <w:rFonts w:ascii="仿宋" w:hAnsi="仿宋" w:eastAsia="仿宋" w:cs="仿宋"/>
          <w:color w:val="auto"/>
          <w:sz w:val="30"/>
          <w:szCs w:val="30"/>
        </w:rPr>
        <w:t>年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12</w:t>
      </w:r>
      <w:r>
        <w:rPr>
          <w:rFonts w:ascii="仿宋" w:hAnsi="仿宋" w:eastAsia="仿宋" w:cs="仿宋"/>
          <w:color w:val="auto"/>
          <w:sz w:val="30"/>
          <w:szCs w:val="30"/>
        </w:rPr>
        <w:t>月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～24日</w:t>
      </w:r>
      <w:r>
        <w:rPr>
          <w:rFonts w:ascii="仿宋" w:hAnsi="仿宋" w:eastAsia="仿宋" w:cs="仿宋"/>
          <w:color w:val="auto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00" w:firstLineChars="200"/>
        <w:textAlignment w:val="auto"/>
        <w:rPr>
          <w:rFonts w:ascii="楷体" w:hAnsi="楷体" w:eastAsia="楷体" w:cs="仿宋"/>
          <w:color w:val="auto"/>
          <w:sz w:val="30"/>
          <w:szCs w:val="30"/>
        </w:rPr>
      </w:pPr>
      <w:r>
        <w:rPr>
          <w:rFonts w:hint="eastAsia" w:ascii="楷体" w:hAnsi="楷体" w:eastAsia="楷体" w:cs="仿宋"/>
          <w:color w:val="auto"/>
          <w:sz w:val="30"/>
          <w:szCs w:val="30"/>
        </w:rPr>
        <w:t>（二）竞赛</w:t>
      </w:r>
      <w:r>
        <w:rPr>
          <w:rFonts w:ascii="楷体" w:hAnsi="楷体" w:eastAsia="楷体" w:cs="仿宋"/>
          <w:color w:val="auto"/>
          <w:sz w:val="30"/>
          <w:szCs w:val="30"/>
        </w:rPr>
        <w:t>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00" w:firstLineChars="200"/>
        <w:jc w:val="left"/>
        <w:textAlignment w:val="auto"/>
        <w:rPr>
          <w:rFonts w:ascii="仿宋_GB2312" w:hAnsi="宋体" w:eastAsia="仿宋_GB2312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/>
          <w:color w:val="auto"/>
          <w:kern w:val="0"/>
          <w:sz w:val="30"/>
          <w:szCs w:val="30"/>
          <w:lang w:eastAsia="zh-CN"/>
        </w:rPr>
        <w:t>东莞精雕职业培训第二学校（</w:t>
      </w:r>
      <w:r>
        <w:rPr>
          <w:rFonts w:ascii="仿宋_GB2312" w:hAnsi="宋体" w:eastAsia="仿宋_GB2312"/>
          <w:color w:val="auto"/>
          <w:kern w:val="0"/>
          <w:sz w:val="30"/>
          <w:szCs w:val="30"/>
        </w:rPr>
        <w:t>广东省东莞市龙湖街与长生路交叉口</w:t>
      </w:r>
      <w:r>
        <w:rPr>
          <w:rFonts w:hint="eastAsia" w:ascii="仿宋_GB2312" w:hAnsi="宋体" w:eastAsia="仿宋_GB2312"/>
          <w:color w:val="auto"/>
          <w:kern w:val="0"/>
          <w:sz w:val="30"/>
          <w:szCs w:val="30"/>
          <w:lang w:eastAsia="zh-CN"/>
        </w:rPr>
        <w:t>）</w:t>
      </w:r>
      <w:r>
        <w:rPr>
          <w:rFonts w:hint="eastAsia" w:ascii="仿宋_GB2312" w:hAnsi="宋体" w:eastAsia="仿宋_GB2312"/>
          <w:color w:val="auto"/>
          <w:kern w:val="0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0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报到地点和住宿酒店等安排详见报到通知。</w:t>
      </w:r>
    </w:p>
    <w:p>
      <w:pPr>
        <w:snapToGrid w:val="0"/>
        <w:spacing w:line="540" w:lineRule="exact"/>
        <w:ind w:firstLine="602" w:firstLineChars="200"/>
        <w:rPr>
          <w:rFonts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四、竞赛方式与内容</w:t>
      </w:r>
    </w:p>
    <w:p>
      <w:pPr>
        <w:widowControl/>
        <w:spacing w:line="560" w:lineRule="exact"/>
        <w:ind w:firstLine="600"/>
        <w:jc w:val="left"/>
        <w:rPr>
          <w:rFonts w:hint="eastAsia" w:ascii="仿宋_GB2312" w:hAnsi="仿宋_GB2312" w:eastAsia="仿宋_GB2312"/>
          <w:color w:val="auto"/>
          <w:sz w:val="30"/>
          <w:szCs w:val="30"/>
        </w:rPr>
      </w:pPr>
      <w:r>
        <w:rPr>
          <w:rFonts w:hint="eastAsia" w:ascii="楷体" w:hAnsi="楷体" w:eastAsia="楷体" w:cs="仿宋"/>
          <w:color w:val="auto"/>
          <w:sz w:val="30"/>
          <w:szCs w:val="30"/>
        </w:rPr>
        <w:t>（一）竞赛</w:t>
      </w:r>
      <w:r>
        <w:rPr>
          <w:rFonts w:hint="eastAsia" w:ascii="仿宋_GB2312" w:hAnsi="楷体" w:eastAsia="仿宋_GB2312" w:cs="仿宋"/>
          <w:color w:val="auto"/>
          <w:sz w:val="30"/>
          <w:szCs w:val="30"/>
        </w:rPr>
        <w:t>方式：</w:t>
      </w:r>
      <w:r>
        <w:rPr>
          <w:rFonts w:hint="eastAsia" w:ascii="仿宋_GB2312" w:hAnsi="仿宋_GB2312" w:eastAsia="仿宋_GB2312"/>
          <w:color w:val="auto"/>
          <w:sz w:val="30"/>
          <w:szCs w:val="30"/>
        </w:rPr>
        <w:t>本赛项为团体赛，每支参赛队由2名选手组成，每队指导教师不超过2名。不得跨校组队。全国限报</w:t>
      </w:r>
      <w:r>
        <w:rPr>
          <w:rFonts w:hint="eastAsia" w:ascii="仿宋_GB2312" w:hAnsi="仿宋_GB2312" w:eastAsia="仿宋_GB2312"/>
          <w:color w:val="auto"/>
          <w:sz w:val="30"/>
          <w:szCs w:val="30"/>
          <w:lang w:val="en-US" w:eastAsia="zh-CN"/>
        </w:rPr>
        <w:t>56</w:t>
      </w:r>
      <w:r>
        <w:rPr>
          <w:rFonts w:hint="eastAsia" w:ascii="仿宋_GB2312" w:hAnsi="仿宋_GB2312" w:eastAsia="仿宋_GB2312"/>
          <w:color w:val="auto"/>
          <w:sz w:val="30"/>
          <w:szCs w:val="30"/>
        </w:rPr>
        <w:t>支队伍，报满为止。</w:t>
      </w:r>
    </w:p>
    <w:p>
      <w:pPr>
        <w:widowControl/>
        <w:spacing w:line="560" w:lineRule="exact"/>
        <w:ind w:firstLine="602"/>
        <w:jc w:val="left"/>
        <w:rPr>
          <w:rFonts w:hint="eastAsia" w:ascii="仿宋_GB2312" w:hAnsi="楷体" w:eastAsia="仿宋_GB2312" w:cs="仿宋"/>
          <w:color w:val="auto"/>
          <w:sz w:val="30"/>
          <w:szCs w:val="30"/>
        </w:rPr>
      </w:pPr>
      <w:r>
        <w:rPr>
          <w:rFonts w:hint="eastAsia" w:ascii="楷体" w:hAnsi="楷体" w:eastAsia="楷体" w:cs="仿宋"/>
          <w:color w:val="auto"/>
          <w:sz w:val="30"/>
          <w:szCs w:val="30"/>
        </w:rPr>
        <w:t>（二）</w:t>
      </w:r>
      <w:r>
        <w:rPr>
          <w:rFonts w:hint="eastAsia" w:ascii="仿宋_GB2312" w:hAnsi="楷体" w:eastAsia="仿宋_GB2312" w:cs="仿宋"/>
          <w:color w:val="auto"/>
          <w:sz w:val="30"/>
          <w:szCs w:val="30"/>
        </w:rPr>
        <w:t>竞赛内容：</w:t>
      </w:r>
    </w:p>
    <w:p>
      <w:pPr>
        <w:widowControl/>
        <w:spacing w:line="560" w:lineRule="exact"/>
        <w:ind w:firstLine="602"/>
        <w:jc w:val="left"/>
        <w:rPr>
          <w:rFonts w:hint="eastAsia" w:ascii="仿宋_GB2312" w:hAnsi="楷体" w:eastAsia="仿宋_GB2312" w:cs="仿宋"/>
          <w:color w:val="auto"/>
          <w:sz w:val="30"/>
          <w:szCs w:val="30"/>
        </w:rPr>
      </w:pPr>
    </w:p>
    <w:p>
      <w:pPr>
        <w:pStyle w:val="3"/>
        <w:spacing w:line="540" w:lineRule="exact"/>
        <w:ind w:firstLine="585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本次比赛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  <w:t>选手需要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在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个小时内，根据给定任务书和工程图、零件模型等，利用赛场提供的数控机床、相关软件平台完成工艺设计→数控编程→五轴零件加工→在机检测→生成检测数据报告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  <w:t>，最后根据任务书和工程图要求完成零件装配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。</w:t>
      </w:r>
    </w:p>
    <w:p>
      <w:pPr>
        <w:pStyle w:val="3"/>
        <w:spacing w:line="540" w:lineRule="exact"/>
        <w:ind w:firstLine="585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(1)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数控编程与仿真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(10%)</w:t>
      </w:r>
    </w:p>
    <w:p>
      <w:pPr>
        <w:pStyle w:val="3"/>
        <w:spacing w:line="540" w:lineRule="exact"/>
        <w:ind w:firstLine="585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利用大赛指定软件JDSoft SurfMill、JDSoft ShopWorks，对赛件进行工艺分析，并完成数控编程及仿真。</w:t>
      </w:r>
    </w:p>
    <w:p>
      <w:pPr>
        <w:pStyle w:val="3"/>
        <w:spacing w:line="540" w:lineRule="exact"/>
        <w:ind w:firstLine="585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(2)五轴数控加工(6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%)</w:t>
      </w:r>
    </w:p>
    <w:p>
      <w:pPr>
        <w:pStyle w:val="3"/>
        <w:spacing w:line="540" w:lineRule="exact"/>
        <w:ind w:firstLine="585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根据数控编程文件，利用提供的设备及工具、刀具等完成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  <w:t>赛件的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数控加工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。</w:t>
      </w:r>
    </w:p>
    <w:p>
      <w:pPr>
        <w:pStyle w:val="3"/>
        <w:spacing w:line="540" w:lineRule="exact"/>
        <w:ind w:firstLine="585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(3)在机检测（1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%）</w:t>
      </w:r>
    </w:p>
    <w:p>
      <w:pPr>
        <w:pStyle w:val="3"/>
        <w:spacing w:line="540" w:lineRule="exact"/>
        <w:ind w:firstLine="585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利用数控系统的在机检测功能，使用大赛提供的设备、刀具及相关工具完成测头标定，工件位置补偿，刀具轮廓检测与补偿，指定要素的在机检测，并按照任务书要求输出检测报告。</w:t>
      </w:r>
    </w:p>
    <w:p>
      <w:pPr>
        <w:pStyle w:val="3"/>
        <w:spacing w:line="540" w:lineRule="exact"/>
        <w:ind w:firstLine="585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(4)装配（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%）</w:t>
      </w:r>
    </w:p>
    <w:p>
      <w:pPr>
        <w:pStyle w:val="3"/>
        <w:spacing w:line="540" w:lineRule="exact"/>
        <w:ind w:firstLine="585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根据工程图纸，利用提供的工具和配件完成赛件的装配。</w:t>
      </w:r>
    </w:p>
    <w:p>
      <w:pPr>
        <w:pStyle w:val="3"/>
        <w:spacing w:line="540" w:lineRule="exact"/>
        <w:ind w:firstLine="585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(5)职业素养与操作安全(5%)</w:t>
      </w:r>
    </w:p>
    <w:p>
      <w:pPr>
        <w:pStyle w:val="3"/>
        <w:spacing w:line="540" w:lineRule="exact"/>
        <w:ind w:firstLine="585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在整个比赛期间，选手应严格遵遵守职业素养要求及安全操作规范，包括安全文明比赛、尊重裁判、着装规范、操作规范、物料摆放整齐、清理清洁、资料归档完整等。</w:t>
      </w:r>
    </w:p>
    <w:p>
      <w:pPr>
        <w:pStyle w:val="3"/>
        <w:spacing w:line="540" w:lineRule="exact"/>
        <w:ind w:firstLine="585"/>
        <w:rPr>
          <w:rFonts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五、竞赛规则</w:t>
      </w:r>
    </w:p>
    <w:p>
      <w:pPr>
        <w:snapToGrid w:val="0"/>
        <w:spacing w:line="500" w:lineRule="exact"/>
        <w:ind w:firstLine="600"/>
        <w:jc w:val="left"/>
        <w:rPr>
          <w:rFonts w:hint="eastAsia" w:ascii="仿宋" w:hAnsi="仿宋" w:eastAsia="仿宋" w:cs="仿宋"/>
          <w:b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（一）熟悉场地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1.选手报到结束后，执委会安排各参赛队（自愿）熟悉场地并进行现场演练（最多2天）。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2.熟悉场地时应严格遵守相关要求，严禁拥挤、喧哗，避免发生意外事故。</w:t>
      </w:r>
    </w:p>
    <w:p>
      <w:pPr>
        <w:snapToGrid w:val="0"/>
        <w:spacing w:line="500" w:lineRule="exact"/>
        <w:ind w:firstLine="600"/>
        <w:jc w:val="left"/>
        <w:rPr>
          <w:rFonts w:hint="eastAsia" w:ascii="仿宋" w:hAnsi="仿宋" w:eastAsia="仿宋" w:cs="仿宋"/>
          <w:b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（二）文明参赛要求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1.竞赛所用的相关设备、仪器、工量刃具、比赛服装等由大赛执委会统一提供。如需选手自带物品，物品清单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将在决</w:t>
      </w:r>
      <w:r>
        <w:rPr>
          <w:rFonts w:hint="eastAsia" w:ascii="仿宋_GB2312" w:hAnsi="仿宋_GB2312" w:eastAsia="仿宋_GB2312"/>
          <w:color w:val="auto"/>
          <w:sz w:val="30"/>
        </w:rPr>
        <w:t>赛前随样题公布。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2.参赛选手至少在比赛开始前30分钟到达指定地点检录，接受工作人员对身份、资格和证件的检查。竞赛计时开始时，选手未到的视为自动放弃。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3.比赛用仪器设备、赛位由抽签确定，不得擅自变更、调整。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4.选手在竞赛过程中不得擅自离开赛场，如有特殊情况，须经裁判同意。选手休息、饮水、上洗手间等耗费的时间，统一计在竞赛时间内。竞赛计时以赛场设置的时钟为准。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5.竞赛期间，选手不得将手机等通信工具带入赛场。非同组选手之间不得以任何方式传递信息，如传递纸条，用手势表达，使用暗语等。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6.赛场内禁止喧哗，不得有影响其他选手完成工作任务的行为。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7.爱护赛场提供的器材，不得移动赛场内台桌、设备和其他物品的位置，不得故意损坏设备和仪器；比赛过程中，参赛选手须严格遵守相关操作规程，确保人身及设备安全，并接受裁判员的监督和警示。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8.比赛过程中，不得与非同组选手讨论，不得旁窥其他选手的操作。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9.有事应先举手示意并与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现场</w:t>
      </w:r>
      <w:r>
        <w:rPr>
          <w:rFonts w:hint="eastAsia" w:ascii="仿宋_GB2312" w:hAnsi="仿宋_GB2312" w:eastAsia="仿宋_GB2312"/>
          <w:color w:val="auto"/>
          <w:sz w:val="30"/>
        </w:rPr>
        <w:t>裁判员协商，尊重裁判员</w:t>
      </w:r>
      <w:r>
        <w:rPr>
          <w:rFonts w:hint="eastAsia" w:ascii="仿宋_GB2312" w:hAnsi="仿宋_GB2312" w:eastAsia="仿宋_GB2312"/>
          <w:color w:val="auto"/>
          <w:sz w:val="30"/>
          <w:lang w:eastAsia="zh-CN"/>
        </w:rPr>
        <w:t>，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服从安排</w:t>
      </w:r>
      <w:r>
        <w:rPr>
          <w:rFonts w:hint="eastAsia" w:ascii="仿宋_GB2312" w:hAnsi="仿宋_GB2312" w:eastAsia="仿宋_GB2312"/>
          <w:color w:val="auto"/>
          <w:sz w:val="30"/>
        </w:rPr>
        <w:t>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10.参赛选手应在赛位的计算机上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指定</w:t>
      </w:r>
      <w:r>
        <w:rPr>
          <w:rFonts w:hint="eastAsia" w:ascii="仿宋_GB2312" w:hAnsi="仿宋_GB2312" w:eastAsia="仿宋_GB2312"/>
          <w:color w:val="auto"/>
          <w:sz w:val="30"/>
        </w:rPr>
        <w:t>文件夹内存储比赛文档</w:t>
      </w:r>
      <w:r>
        <w:rPr>
          <w:rFonts w:hint="eastAsia" w:ascii="仿宋_GB2312" w:hAnsi="仿宋_GB2312" w:eastAsia="仿宋_GB2312"/>
          <w:color w:val="auto"/>
          <w:sz w:val="30"/>
          <w:lang w:eastAsia="zh-CN"/>
        </w:rPr>
        <w:t>，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不允许做违反规定的标记；比赛文档错存、漏存，责任自负</w:t>
      </w:r>
      <w:r>
        <w:rPr>
          <w:rFonts w:hint="eastAsia" w:ascii="仿宋_GB2312" w:hAnsi="仿宋_GB2312" w:eastAsia="仿宋_GB2312"/>
          <w:color w:val="auto"/>
          <w:sz w:val="30"/>
        </w:rPr>
        <w:t>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11.比赛过程中，选手因个人错误操作造成人身安全事故和设备故障时，裁判长有权中止该队比赛；如非选手个人原因出现设备故障而无法比赛，由裁判长做出调整(调换到备用赛位或调整至最后一场次参加比赛)；如裁判长确认设备故障可由技术支持人员排除故障后继续比赛，排除故障时间不计入比赛用时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12.参赛队需提前结束竞赛，应举手向裁判员示意，由裁判员记录比赛结束时间。结束比赛后参赛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选手</w:t>
      </w:r>
      <w:r>
        <w:rPr>
          <w:rFonts w:hint="eastAsia" w:ascii="仿宋_GB2312" w:hAnsi="仿宋_GB2312" w:eastAsia="仿宋_GB2312"/>
          <w:color w:val="auto"/>
          <w:sz w:val="30"/>
        </w:rPr>
        <w:t>不得再进行任何操作。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13.选手须按照要求提交比赛结果，配合裁判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员</w:t>
      </w:r>
      <w:r>
        <w:rPr>
          <w:rFonts w:hint="eastAsia" w:ascii="仿宋_GB2312" w:hAnsi="仿宋_GB2312" w:eastAsia="仿宋_GB2312"/>
          <w:color w:val="auto"/>
          <w:sz w:val="30"/>
        </w:rPr>
        <w:t>做好赛场情况记录，并与裁判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员</w:t>
      </w:r>
      <w:r>
        <w:rPr>
          <w:rFonts w:hint="eastAsia" w:ascii="仿宋_GB2312" w:hAnsi="仿宋_GB2312" w:eastAsia="仿宋_GB2312"/>
          <w:color w:val="auto"/>
          <w:sz w:val="30"/>
        </w:rPr>
        <w:t>一起签字确认，不得拒签。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14.竞赛结束后选手应先到指定地点，待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裁判</w:t>
      </w:r>
      <w:r>
        <w:rPr>
          <w:rFonts w:hint="eastAsia" w:ascii="仿宋_GB2312" w:hAnsi="仿宋_GB2312" w:eastAsia="仿宋_GB2312"/>
          <w:color w:val="auto"/>
          <w:sz w:val="30"/>
        </w:rPr>
        <w:t>员宣布竞赛结束，方可离开。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15.比赛过程中，所有比赛任务由选手自行完成，如有比赛任务不能自行完成，选手可以提出弃权，弃权部分不得分。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16.不乱摆放工具，不乱丢杂物，完成工作任务后应清洁赛位，整理工量刃具，废弃物品等不得遗留在赛位上。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17.文明用语，尊重裁判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员</w:t>
      </w:r>
      <w:r>
        <w:rPr>
          <w:rFonts w:hint="eastAsia" w:ascii="仿宋_GB2312" w:hAnsi="仿宋_GB2312" w:eastAsia="仿宋_GB2312"/>
          <w:color w:val="auto"/>
          <w:sz w:val="30"/>
        </w:rPr>
        <w:t>和其他选手。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18.任何人不得以任何方式暗示、指导、帮助参赛选手。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19.比赛过程中，除参加当场次比赛的选手、执行裁判员、现场工作人员和经批准的人员外，其他人员一律不得进入比赛现场；比赛结束后，参赛人员应根据指令及时退出比赛现场。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20.裁判长在比赛结束前15分钟提醒选手。裁判长发布比赛结束指令后所有参赛队应立即停止操作，按要求清理赛位，不得以任何理由拖延。</w:t>
      </w:r>
    </w:p>
    <w:p>
      <w:pPr>
        <w:snapToGrid w:val="0"/>
        <w:spacing w:line="500" w:lineRule="exact"/>
        <w:ind w:firstLine="600"/>
        <w:rPr>
          <w:rFonts w:hint="eastAsia"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21.参赛选手须经现场裁判员检查许可后方能离开赛场。选手不得将竞赛任务书、图纸、草稿纸和工具等与比赛有关的物品带离赛场。</w:t>
      </w:r>
    </w:p>
    <w:p>
      <w:pPr>
        <w:snapToGrid w:val="0"/>
        <w:spacing w:line="500" w:lineRule="exact"/>
        <w:ind w:firstLine="600"/>
        <w:jc w:val="left"/>
        <w:rPr>
          <w:rFonts w:ascii="华文楷体" w:hAnsi="华文楷体" w:eastAsia="华文楷体"/>
          <w:b/>
          <w:bCs/>
          <w:color w:val="auto"/>
          <w:sz w:val="30"/>
        </w:rPr>
      </w:pPr>
      <w:r>
        <w:rPr>
          <w:rFonts w:hint="eastAsia" w:ascii="华文楷体" w:hAnsi="华文楷体" w:eastAsia="华文楷体"/>
          <w:b/>
          <w:bCs/>
          <w:color w:val="auto"/>
          <w:sz w:val="30"/>
        </w:rPr>
        <w:t>（三）成绩评定及公布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b/>
          <w:bCs/>
          <w:color w:val="auto"/>
          <w:sz w:val="30"/>
        </w:rPr>
      </w:pPr>
      <w:r>
        <w:rPr>
          <w:rFonts w:hint="eastAsia" w:ascii="仿宋_GB2312" w:hAnsi="仿宋_GB2312" w:eastAsia="仿宋_GB2312"/>
          <w:b/>
          <w:bCs/>
          <w:color w:val="auto"/>
          <w:sz w:val="30"/>
        </w:rPr>
        <w:t>1.组织分工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在赛项执委会的领导下成立检录组、裁判组和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监督</w:t>
      </w:r>
      <w:r>
        <w:rPr>
          <w:rFonts w:hint="eastAsia" w:ascii="仿宋_GB2312" w:hAnsi="仿宋_GB2312" w:eastAsia="仿宋_GB2312"/>
          <w:color w:val="auto"/>
          <w:sz w:val="30"/>
        </w:rPr>
        <w:t>仲裁组。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（1）检录工作人员负责对参赛队伍（选手）进行点名登记、身份核对等工作。检录工作由赛项承办院校工作人员承担。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（2）裁判组实行“裁判长负责制”。裁判组设裁判长1名，全面负责赛项的裁判管理工作并处理比赛中出现的争议问题。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（3）裁判员根据比赛需要分为加密裁判、现场裁判和评分裁判。加密裁判负责组织参赛队伍（选手）抽签，对参赛队信息、抽签代码、比赛作品等进行加密，加密裁判不参与评分工作。现场裁判按规定做好赛场记录，维护赛场纪律，评定参赛队的现场得分。评分裁判负责对参赛队伍（选手）的比赛任务完成、比赛表现按赛项评分标准进行评定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（4）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监督</w:t>
      </w:r>
      <w:r>
        <w:rPr>
          <w:rFonts w:hint="eastAsia" w:ascii="仿宋_GB2312" w:hAnsi="仿宋_GB2312" w:eastAsia="仿宋_GB2312"/>
          <w:color w:val="auto"/>
          <w:sz w:val="30"/>
        </w:rPr>
        <w:t>仲裁组负责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对比赛全过程进行监督，</w:t>
      </w:r>
      <w:r>
        <w:rPr>
          <w:rFonts w:hint="eastAsia" w:ascii="仿宋_GB2312" w:hAnsi="仿宋_GB2312" w:eastAsia="仿宋_GB2312"/>
          <w:color w:val="auto"/>
          <w:sz w:val="30"/>
        </w:rPr>
        <w:t>接受由参赛队领队提出的仲裁申诉，组织复议并公布复议结果。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b/>
          <w:bCs/>
          <w:color w:val="auto"/>
          <w:sz w:val="30"/>
        </w:rPr>
      </w:pPr>
      <w:r>
        <w:rPr>
          <w:rFonts w:hint="eastAsia" w:ascii="仿宋_GB2312" w:hAnsi="仿宋_GB2312" w:eastAsia="仿宋_GB2312"/>
          <w:b/>
          <w:bCs/>
          <w:color w:val="auto"/>
          <w:sz w:val="30"/>
        </w:rPr>
        <w:t>2.成绩评分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b/>
          <w:bCs/>
          <w:color w:val="auto"/>
          <w:sz w:val="30"/>
        </w:rPr>
      </w:pPr>
      <w:r>
        <w:rPr>
          <w:rFonts w:hint="eastAsia" w:ascii="仿宋_GB2312" w:hAnsi="仿宋_GB2312" w:eastAsia="仿宋_GB2312"/>
          <w:b/>
          <w:bCs/>
          <w:color w:val="auto"/>
          <w:sz w:val="30"/>
        </w:rPr>
        <w:t>（1）结果评分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评分裁判依据赛项评价标准对参赛队伍提交的竞赛作品进行评判。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b/>
          <w:bCs/>
          <w:color w:val="auto"/>
          <w:sz w:val="30"/>
        </w:rPr>
      </w:pPr>
      <w:r>
        <w:rPr>
          <w:rFonts w:hint="eastAsia" w:ascii="仿宋_GB2312" w:hAnsi="仿宋_GB2312" w:eastAsia="仿宋_GB2312"/>
          <w:b/>
          <w:bCs/>
          <w:color w:val="auto"/>
          <w:sz w:val="30"/>
        </w:rPr>
        <w:t>（2）抽检复核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为保障成绩统计的准确性，执委会对赛项总成绩进行抽检复核。错误率超过5%的，则认定为非小概率事件，裁判组需对所有成绩进行复核。</w:t>
      </w:r>
    </w:p>
    <w:p>
      <w:pPr>
        <w:snapToGrid w:val="0"/>
        <w:spacing w:line="540" w:lineRule="exact"/>
        <w:ind w:firstLine="602" w:firstLineChars="200"/>
        <w:rPr>
          <w:rFonts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六、技术规范</w:t>
      </w:r>
    </w:p>
    <w:p>
      <w:pPr>
        <w:snapToGrid w:val="0"/>
        <w:spacing w:line="560" w:lineRule="exact"/>
        <w:ind w:firstLine="602" w:firstLineChars="200"/>
        <w:jc w:val="left"/>
        <w:rPr>
          <w:rFonts w:ascii="仿宋_GB2312" w:hAnsi="宋体" w:eastAsia="仿宋_GB2312" w:cs="Arial"/>
          <w:b/>
          <w:bCs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b/>
          <w:bCs/>
          <w:color w:val="auto"/>
          <w:kern w:val="0"/>
          <w:sz w:val="30"/>
          <w:szCs w:val="30"/>
        </w:rPr>
        <w:t>（一）职业道德</w:t>
      </w:r>
    </w:p>
    <w:p>
      <w:pPr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ascii="仿宋_GB2312" w:hAnsi="宋体" w:eastAsia="仿宋_GB2312" w:cs="Arial"/>
          <w:color w:val="auto"/>
          <w:kern w:val="0"/>
          <w:sz w:val="30"/>
          <w:szCs w:val="30"/>
        </w:rPr>
        <w:t>1.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敬业爱岗，忠于职守，严于律已。</w:t>
      </w:r>
    </w:p>
    <w:p>
      <w:pPr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ascii="仿宋_GB2312" w:hAnsi="宋体" w:eastAsia="仿宋_GB2312" w:cs="Arial"/>
          <w:color w:val="auto"/>
          <w:kern w:val="0"/>
          <w:sz w:val="30"/>
          <w:szCs w:val="30"/>
        </w:rPr>
        <w:t>2.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刻苦学习，钻研业务，善于观察，勤于思考。</w:t>
      </w:r>
    </w:p>
    <w:p>
      <w:pPr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ascii="仿宋_GB2312" w:hAnsi="宋体" w:eastAsia="仿宋_GB2312" w:cs="Arial"/>
          <w:color w:val="auto"/>
          <w:kern w:val="0"/>
          <w:sz w:val="30"/>
          <w:szCs w:val="30"/>
        </w:rPr>
        <w:t>3.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认真负责，吃苦耐劳。</w:t>
      </w:r>
    </w:p>
    <w:p>
      <w:pPr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ascii="仿宋_GB2312" w:hAnsi="宋体" w:eastAsia="仿宋_GB2312" w:cs="Arial"/>
          <w:color w:val="auto"/>
          <w:kern w:val="0"/>
          <w:sz w:val="30"/>
          <w:szCs w:val="30"/>
        </w:rPr>
        <w:t>4.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遵守操作规程，安全、文明生产。</w:t>
      </w:r>
    </w:p>
    <w:p>
      <w:pPr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ascii="仿宋_GB2312" w:hAnsi="宋体" w:eastAsia="仿宋_GB2312" w:cs="Arial"/>
          <w:color w:val="auto"/>
          <w:kern w:val="0"/>
          <w:sz w:val="30"/>
          <w:szCs w:val="30"/>
        </w:rPr>
        <w:t>5.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着装规范整洁，爱护设备，保持工作环境清洁有序。</w:t>
      </w:r>
    </w:p>
    <w:p>
      <w:pPr>
        <w:snapToGrid w:val="0"/>
        <w:spacing w:line="560" w:lineRule="exact"/>
        <w:ind w:firstLine="602" w:firstLineChars="200"/>
        <w:jc w:val="left"/>
        <w:rPr>
          <w:rFonts w:ascii="仿宋_GB2312" w:hAnsi="宋体" w:eastAsia="仿宋_GB2312" w:cs="Arial"/>
          <w:b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b/>
          <w:color w:val="auto"/>
          <w:kern w:val="0"/>
          <w:sz w:val="30"/>
          <w:szCs w:val="30"/>
        </w:rPr>
        <w:t>（二）相关知识与技能</w:t>
      </w:r>
    </w:p>
    <w:p>
      <w:pPr>
        <w:snapToGrid w:val="0"/>
        <w:spacing w:line="560" w:lineRule="exact"/>
        <w:ind w:firstLine="602" w:firstLineChars="200"/>
        <w:jc w:val="left"/>
        <w:rPr>
          <w:rFonts w:ascii="仿宋_GB2312" w:hAnsi="宋体" w:eastAsia="仿宋_GB2312" w:cs="Arial"/>
          <w:b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b/>
          <w:color w:val="auto"/>
          <w:kern w:val="0"/>
          <w:sz w:val="30"/>
          <w:szCs w:val="30"/>
        </w:rPr>
        <w:t>1、理论知识：</w:t>
      </w:r>
    </w:p>
    <w:p>
      <w:pPr>
        <w:snapToGrid w:val="0"/>
        <w:spacing w:line="560" w:lineRule="exact"/>
        <w:ind w:firstLine="150" w:firstLineChars="5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 xml:space="preserve"> （1）能够看懂较复杂程度的机械零件2D、3D图，明白各项技术要求的含义。</w:t>
      </w:r>
    </w:p>
    <w:p>
      <w:pPr>
        <w:snapToGrid w:val="0"/>
        <w:spacing w:line="560" w:lineRule="exact"/>
        <w:ind w:firstLine="300" w:firstLineChars="1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（2）熟悉机械制造工艺，能根据给定的零件图和给定的机床和刀具，编制加工工艺。</w:t>
      </w:r>
    </w:p>
    <w:p>
      <w:pPr>
        <w:snapToGrid w:val="0"/>
        <w:spacing w:line="560" w:lineRule="exact"/>
        <w:ind w:firstLine="300" w:firstLineChars="1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（3）能够掌握五轴联动机床操作原理，工件找正定位及夹紧方法。</w:t>
      </w:r>
    </w:p>
    <w:p>
      <w:pPr>
        <w:snapToGrid w:val="0"/>
        <w:spacing w:line="560" w:lineRule="exact"/>
        <w:ind w:firstLine="300" w:firstLineChars="100"/>
        <w:jc w:val="left"/>
        <w:rPr>
          <w:rFonts w:hint="eastAsia" w:ascii="仿宋_GB2312" w:hAnsi="宋体" w:eastAsia="仿宋_GB2312" w:cs="Arial"/>
          <w:color w:val="auto"/>
          <w:kern w:val="0"/>
          <w:sz w:val="30"/>
          <w:szCs w:val="30"/>
          <w:lang w:eastAsia="zh-CN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（4）熟悉常用的CAD/CAM软件3D绘图功能和加工程序编制功能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  <w:lang w:eastAsia="zh-CN"/>
        </w:rPr>
        <w:t>。</w:t>
      </w:r>
    </w:p>
    <w:p>
      <w:pPr>
        <w:snapToGrid w:val="0"/>
        <w:spacing w:line="560" w:lineRule="exact"/>
        <w:ind w:firstLine="300" w:firstLineChars="1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（5）熟悉常用金属材料的切削特点，熟悉各种刀具的使用方法，适用工况，会根据切削状态适当调整刀具切削参数。</w:t>
      </w:r>
    </w:p>
    <w:p>
      <w:pPr>
        <w:snapToGrid w:val="0"/>
        <w:spacing w:line="560" w:lineRule="exact"/>
        <w:ind w:firstLine="300" w:firstLineChars="1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（6）熟练掌握各种通用量具的校对和使用方法。</w:t>
      </w:r>
    </w:p>
    <w:p>
      <w:pPr>
        <w:snapToGrid w:val="0"/>
        <w:spacing w:line="560" w:lineRule="exact"/>
        <w:ind w:firstLine="300" w:firstLineChars="1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（7）熟练掌握生产操作过程中的安全知识，对于紧急情况的处理办法。</w:t>
      </w:r>
    </w:p>
    <w:p>
      <w:pPr>
        <w:snapToGrid w:val="0"/>
        <w:spacing w:line="560" w:lineRule="exact"/>
        <w:ind w:firstLine="301" w:firstLineChars="1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b/>
          <w:bCs/>
          <w:color w:val="auto"/>
          <w:kern w:val="0"/>
          <w:sz w:val="30"/>
          <w:szCs w:val="30"/>
        </w:rPr>
        <w:t>2、技能要求：</w:t>
      </w:r>
    </w:p>
    <w:p>
      <w:pPr>
        <w:snapToGrid w:val="0"/>
        <w:spacing w:line="560" w:lineRule="exact"/>
        <w:ind w:firstLine="450" w:firstLineChars="15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（1）五轴机床操作</w:t>
      </w:r>
    </w:p>
    <w:p>
      <w:pPr>
        <w:snapToGrid w:val="0"/>
        <w:spacing w:line="560" w:lineRule="exact"/>
        <w:ind w:firstLine="150" w:firstLineChars="5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 xml:space="preserve">   掌握机床的结构原理及各项功能的使用；熟练使用红外探针进行五轴转台原点标定。</w:t>
      </w:r>
    </w:p>
    <w:p>
      <w:pPr>
        <w:snapToGrid w:val="0"/>
        <w:spacing w:line="560" w:lineRule="exact"/>
        <w:ind w:firstLine="150" w:firstLineChars="5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 xml:space="preserve"> 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（2）工件装夹定位和找正。</w:t>
      </w:r>
    </w:p>
    <w:p>
      <w:pPr>
        <w:snapToGrid w:val="0"/>
        <w:spacing w:line="560" w:lineRule="exact"/>
        <w:ind w:left="596" w:leftChars="284" w:firstLine="0" w:firstLineChars="0"/>
        <w:jc w:val="left"/>
        <w:rPr>
          <w:rFonts w:hint="eastAsia" w:ascii="仿宋_GB2312" w:hAnsi="宋体" w:eastAsia="仿宋_GB2312" w:cs="Arial"/>
          <w:color w:val="auto"/>
          <w:kern w:val="0"/>
          <w:sz w:val="30"/>
          <w:szCs w:val="30"/>
          <w:lang w:eastAsia="zh-CN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掌握工件定位找正，装夹工件，能严格按照工艺要求装夹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  <w:lang w:eastAsia="zh-CN"/>
        </w:rPr>
        <w:t>。</w:t>
      </w:r>
    </w:p>
    <w:p>
      <w:pPr>
        <w:snapToGrid w:val="0"/>
        <w:spacing w:line="560" w:lineRule="exact"/>
        <w:ind w:firstLine="450" w:firstLineChars="150"/>
        <w:jc w:val="left"/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（3）在机测量系统</w:t>
      </w:r>
    </w:p>
    <w:p>
      <w:pPr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掌握使用机床在机测量系统，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  <w:lang w:eastAsia="zh-CN"/>
        </w:rPr>
        <w:t>使用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在机测量程序对复杂零件曲面进行测量，并根据工艺指标评价测量结果是否合格完成自检。</w:t>
      </w:r>
    </w:p>
    <w:p>
      <w:pPr>
        <w:snapToGrid w:val="0"/>
        <w:spacing w:line="560" w:lineRule="exact"/>
        <w:ind w:firstLine="450" w:firstLineChars="15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（4）CAD/CAM软件使用</w:t>
      </w:r>
    </w:p>
    <w:p>
      <w:pPr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熟练掌握利用CAD/CAM软件进行较复杂程度的零件（含复杂曲面）程序编制。</w:t>
      </w:r>
    </w:p>
    <w:p>
      <w:pPr>
        <w:snapToGrid w:val="0"/>
        <w:spacing w:line="560" w:lineRule="exact"/>
        <w:ind w:firstLine="450" w:firstLineChars="15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（5）模拟仿真加工</w:t>
      </w:r>
    </w:p>
    <w:p>
      <w:pPr>
        <w:snapToGrid w:val="0"/>
        <w:spacing w:line="560" w:lineRule="exact"/>
        <w:ind w:firstLine="600" w:firstLineChars="200"/>
        <w:jc w:val="left"/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能够利用给定的模拟仿真软件，根据程序单按顺序对加工程序进行逐一模拟仿真，能检测和识别各部分的干涉碰撞以及超行程的问题。</w:t>
      </w:r>
    </w:p>
    <w:p>
      <w:pPr>
        <w:snapToGrid w:val="0"/>
        <w:spacing w:line="560" w:lineRule="exact"/>
        <w:ind w:left="0" w:leftChars="0" w:firstLine="416" w:firstLineChars="139"/>
        <w:jc w:val="left"/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  <w:lang w:eastAsia="zh-CN"/>
        </w:rPr>
        <w:t>（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  <w:lang w:val="en-US" w:eastAsia="zh-CN"/>
        </w:rPr>
        <w:t>6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  <w:lang w:eastAsia="zh-CN"/>
        </w:rPr>
        <w:t>）产品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装配</w:t>
      </w:r>
    </w:p>
    <w:p>
      <w:pPr>
        <w:snapToGrid w:val="0"/>
        <w:spacing w:line="560" w:lineRule="exact"/>
        <w:ind w:firstLine="600" w:firstLineChars="200"/>
        <w:jc w:val="left"/>
        <w:rPr>
          <w:rFonts w:hint="eastAsia" w:ascii="仿宋_GB2312" w:hAnsi="宋体" w:eastAsia="仿宋_GB2312" w:cs="Arial"/>
          <w:color w:val="auto"/>
          <w:kern w:val="0"/>
          <w:sz w:val="30"/>
          <w:szCs w:val="30"/>
          <w:lang w:eastAsia="zh-CN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能进行简单产品装配，包括紧固件的安装调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  <w:lang w:eastAsia="zh-CN"/>
        </w:rPr>
        <w:t>整。</w:t>
      </w:r>
    </w:p>
    <w:p>
      <w:pPr>
        <w:snapToGrid w:val="0"/>
        <w:spacing w:line="560" w:lineRule="exact"/>
        <w:ind w:firstLine="450" w:firstLineChars="15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（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  <w:lang w:val="en-US" w:eastAsia="zh-CN"/>
        </w:rPr>
        <w:t>7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）安全生产、文明生产</w:t>
      </w:r>
    </w:p>
    <w:p>
      <w:pPr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不违规操作，做到工艺文件不齐备不动刀，程序未仿真不动刀，零点、刀具未校对不动刀。</w:t>
      </w:r>
    </w:p>
    <w:p>
      <w:pPr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能够遵照定置管理制度，妥善保管刀具、量具、夹具、及周转中的零件。保持工位整齐、整洁，机床简单保养。</w:t>
      </w:r>
    </w:p>
    <w:p>
      <w:pPr>
        <w:snapToGrid w:val="0"/>
        <w:spacing w:line="560" w:lineRule="exact"/>
        <w:ind w:firstLine="602" w:firstLineChars="200"/>
        <w:jc w:val="left"/>
        <w:rPr>
          <w:rFonts w:ascii="仿宋_GB2312" w:hAnsi="宋体" w:eastAsia="仿宋_GB2312" w:cs="Arial"/>
          <w:b/>
          <w:bCs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b/>
          <w:bCs/>
          <w:color w:val="auto"/>
          <w:kern w:val="0"/>
          <w:sz w:val="30"/>
          <w:szCs w:val="30"/>
        </w:rPr>
        <w:t>（三）职业标准</w:t>
      </w:r>
    </w:p>
    <w:p>
      <w:pPr>
        <w:snapToGrid w:val="0"/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1. 竞赛按照加工中心操作工（五轴高级工）国家职业标准要求实施。</w:t>
      </w:r>
    </w:p>
    <w:p>
      <w:pPr>
        <w:snapToGrid w:val="0"/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2. 竞赛按照数控程序员（高级工）国家职业标准要求实施。</w:t>
      </w:r>
    </w:p>
    <w:p>
      <w:pPr>
        <w:snapToGrid w:val="0"/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3. 竞赛按照精密数控加工职业技能等级标准（高级）要求实施。</w:t>
      </w:r>
    </w:p>
    <w:p>
      <w:pPr>
        <w:snapToGrid w:val="0"/>
        <w:spacing w:line="540" w:lineRule="exact"/>
        <w:ind w:firstLine="602" w:firstLineChars="200"/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</w:pPr>
    </w:p>
    <w:p>
      <w:pPr>
        <w:snapToGrid w:val="0"/>
        <w:spacing w:line="540" w:lineRule="exact"/>
        <w:ind w:firstLine="602" w:firstLineChars="200"/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</w:pPr>
    </w:p>
    <w:p>
      <w:pPr>
        <w:snapToGrid w:val="0"/>
        <w:spacing w:line="540" w:lineRule="exact"/>
        <w:ind w:firstLine="602" w:firstLineChars="200"/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</w:pPr>
    </w:p>
    <w:p>
      <w:pPr>
        <w:snapToGrid w:val="0"/>
        <w:spacing w:line="540" w:lineRule="exact"/>
        <w:ind w:firstLine="602" w:firstLineChars="200"/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</w:pPr>
    </w:p>
    <w:p>
      <w:pPr>
        <w:snapToGrid w:val="0"/>
        <w:spacing w:line="540" w:lineRule="exact"/>
        <w:ind w:firstLine="602" w:firstLineChars="200"/>
        <w:rPr>
          <w:rFonts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七、技术平台</w:t>
      </w:r>
    </w:p>
    <w:p>
      <w:pPr>
        <w:widowControl/>
        <w:spacing w:line="560" w:lineRule="exact"/>
        <w:ind w:firstLine="600"/>
        <w:jc w:val="left"/>
        <w:rPr>
          <w:rFonts w:ascii="华文楷体" w:hAnsi="华文楷体" w:eastAsia="华文楷体"/>
          <w:b/>
          <w:bCs/>
          <w:color w:val="auto"/>
          <w:sz w:val="28"/>
          <w:szCs w:val="28"/>
        </w:rPr>
      </w:pPr>
      <w:r>
        <w:rPr>
          <w:rFonts w:hint="eastAsia" w:ascii="华文楷体" w:hAnsi="华文楷体" w:eastAsia="华文楷体"/>
          <w:b/>
          <w:bCs/>
          <w:color w:val="auto"/>
          <w:sz w:val="28"/>
          <w:szCs w:val="28"/>
        </w:rPr>
        <w:t>（一）主要硬件技术规格</w:t>
      </w:r>
    </w:p>
    <w:tbl>
      <w:tblPr>
        <w:tblStyle w:val="6"/>
        <w:tblW w:w="878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2182"/>
        <w:gridCol w:w="4936"/>
        <w:gridCol w:w="94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华文中宋" w:eastAsia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华文中宋" w:eastAsia="仿宋_GB2312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华文中宋" w:eastAsia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华文中宋" w:eastAsia="仿宋_GB2312"/>
                <w:b/>
                <w:bCs/>
                <w:color w:val="auto"/>
                <w:sz w:val="24"/>
              </w:rPr>
              <w:t>器材名称</w:t>
            </w:r>
          </w:p>
        </w:tc>
        <w:tc>
          <w:tcPr>
            <w:tcW w:w="4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华文中宋" w:eastAsia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华文中宋" w:eastAsia="仿宋_GB2312"/>
                <w:b/>
                <w:bCs/>
                <w:color w:val="auto"/>
                <w:sz w:val="24"/>
              </w:rPr>
              <w:t>规格/技术参数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华文中宋" w:eastAsia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华文中宋" w:eastAsia="仿宋_GB2312"/>
                <w:b/>
                <w:bCs/>
                <w:color w:val="auto"/>
                <w:sz w:val="24"/>
              </w:rPr>
              <w:t>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华文中宋" w:eastAsia="仿宋_GB2312"/>
                <w:color w:val="auto"/>
                <w:sz w:val="24"/>
              </w:rPr>
            </w:pPr>
            <w:r>
              <w:rPr>
                <w:rFonts w:hint="eastAsia" w:ascii="仿宋_GB2312" w:hAnsi="华文中宋" w:eastAsia="仿宋_GB2312"/>
                <w:color w:val="auto"/>
                <w:sz w:val="24"/>
              </w:rPr>
              <w:t>1</w:t>
            </w: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华文中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计算机</w:t>
            </w:r>
          </w:p>
        </w:tc>
        <w:tc>
          <w:tcPr>
            <w:tcW w:w="4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rPr>
                <w:rFonts w:ascii="仿宋_GB2312" w:hAnsi="华文中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每个工位配备两台，基本配置处理器Intel酷睿i7内存≥8G ，硬盘≥100G ，独立显卡4G，19寸及以上显示器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华文中宋" w:eastAsia="仿宋_GB2312"/>
                <w:color w:val="auto"/>
                <w:sz w:val="24"/>
              </w:rPr>
            </w:pPr>
            <w:r>
              <w:rPr>
                <w:rFonts w:ascii="仿宋_GB2312" w:hAnsi="华文中宋" w:eastAsia="仿宋_GB2312"/>
                <w:color w:val="auto"/>
                <w:sz w:val="24"/>
              </w:rPr>
              <w:t>30</w:t>
            </w:r>
            <w:r>
              <w:rPr>
                <w:rFonts w:hint="eastAsia" w:ascii="仿宋_GB2312" w:hAnsi="华文中宋" w:eastAsia="仿宋_GB2312"/>
                <w:color w:val="auto"/>
                <w:sz w:val="24"/>
              </w:rPr>
              <w:t>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华文中宋" w:eastAsia="仿宋_GB2312"/>
                <w:color w:val="auto"/>
                <w:sz w:val="24"/>
              </w:rPr>
            </w:pPr>
            <w:r>
              <w:rPr>
                <w:rFonts w:hint="eastAsia" w:ascii="仿宋_GB2312" w:hAnsi="华文中宋" w:eastAsia="仿宋_GB2312"/>
                <w:color w:val="auto"/>
                <w:sz w:val="24"/>
              </w:rPr>
              <w:t>2</w:t>
            </w:r>
          </w:p>
          <w:p>
            <w:pPr>
              <w:snapToGrid w:val="0"/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北京精雕集团</w:t>
            </w:r>
          </w:p>
          <w:p>
            <w:pPr>
              <w:snapToGrid w:val="0"/>
              <w:jc w:val="center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五轴精雕高速机</w:t>
            </w:r>
          </w:p>
          <w:p>
            <w:pPr>
              <w:snapToGrid w:val="0"/>
              <w:jc w:val="center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JDGR400</w:t>
            </w:r>
            <w:r>
              <w:rPr>
                <w:rFonts w:hint="eastAsia" w:ascii="仿宋_GB2312" w:hAnsi="仿宋" w:eastAsia="仿宋_GB2312"/>
                <w:color w:val="auto"/>
                <w:sz w:val="24"/>
                <w:lang w:val="en-US" w:eastAsia="zh-CN"/>
              </w:rPr>
              <w:t>T（P15SHA）</w:t>
            </w:r>
          </w:p>
          <w:p>
            <w:pPr>
              <w:snapToGrid w:val="0"/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4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X/Y/Z轴运动定位精度： 0.002/0.002/0.002mm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A/C轴运动定位精度： 8"/8"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X/Y/Z轴重复定位精度： 0.0018/0.0018/0.0018mm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A/C轴重复定位精度： 5"/5"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X/Y/Z轴工作行程： 450/700/400mm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A/C轴回转角度： -120～90°/360°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工作台尺寸： Φ400mm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最大工作负载： 150Kg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主轴最高转速： 20000rpm（Ф150）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刀柄规格： HSK-A50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X/Y/Z快速移动速度： 15m/min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A/C轴快速旋转速度： 30/50rpm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X/Y/Z最高切削进给速度： 10m/min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A/C轴最高切削进给速度： 15/25rpm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工作电压： 三相380V/50Hz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驱动系统： 交流伺服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气源压力： ≥0.52MPa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机床总重： 10000Kg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数控系统： 国产JD50数控系统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对刀仪： 配备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>接触式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自动对刀仪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>及激光对刀仪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精雕在机测量系统：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>配置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雷尼绍在机测量系统，可以实现“在机测量和智能修正”功能。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①测量系统：包括增加测头接口、软件升级、刀库改造、测头刀柄等内容。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②雷尼绍OMP40-2测头及接收器：项目包括测头、接收器、接收器支架、线缆护管及测针1支。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1</w:t>
            </w:r>
            <w:r>
              <w:rPr>
                <w:rFonts w:ascii="仿宋_GB2312" w:hAnsi="仿宋" w:eastAsia="仿宋_GB2312"/>
                <w:color w:val="auto"/>
                <w:sz w:val="24"/>
              </w:rPr>
              <w:t>5</w:t>
            </w:r>
            <w:r>
              <w:rPr>
                <w:rFonts w:hint="eastAsia" w:ascii="仿宋_GB2312" w:hAnsi="仿宋" w:eastAsia="仿宋_GB2312"/>
                <w:color w:val="auto"/>
                <w:sz w:val="24"/>
              </w:rPr>
              <w:t>台</w:t>
            </w:r>
          </w:p>
          <w:p>
            <w:pPr>
              <w:snapToGrid w:val="0"/>
              <w:jc w:val="center"/>
              <w:rPr>
                <w:rFonts w:ascii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中宋" w:eastAsia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华文中宋" w:eastAsia="仿宋_GB2312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工作台</w:t>
            </w:r>
          </w:p>
        </w:tc>
        <w:tc>
          <w:tcPr>
            <w:tcW w:w="4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配备零点快换、数控加工用刀架、换刀工具、锁刀座、换刀工作台等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color w:val="FF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lang w:val="en-US" w:eastAsia="zh-CN"/>
              </w:rPr>
              <w:t>4</w:t>
            </w: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</w:rPr>
              <w:t>工量刃具</w:t>
            </w:r>
          </w:p>
        </w:tc>
        <w:tc>
          <w:tcPr>
            <w:tcW w:w="4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rPr>
                <w:rFonts w:ascii="仿宋_GB2312" w:hAnsi="仿宋_GB2312" w:eastAsia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</w:rPr>
              <w:t>数控加工刀具、刀柄、量具若干（具体清单随样题公布）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/>
                <w:color w:val="FF0000"/>
                <w:sz w:val="24"/>
              </w:rPr>
            </w:pPr>
          </w:p>
        </w:tc>
      </w:tr>
    </w:tbl>
    <w:p>
      <w:pPr>
        <w:widowControl/>
        <w:spacing w:line="560" w:lineRule="exact"/>
        <w:ind w:firstLine="600"/>
        <w:jc w:val="left"/>
        <w:rPr>
          <w:rFonts w:hint="eastAsia" w:ascii="华文楷体" w:hAnsi="华文楷体" w:eastAsia="华文楷体"/>
          <w:b/>
          <w:bCs/>
          <w:color w:val="auto"/>
          <w:sz w:val="30"/>
        </w:rPr>
      </w:pPr>
    </w:p>
    <w:p>
      <w:pPr>
        <w:widowControl/>
        <w:spacing w:line="560" w:lineRule="exact"/>
        <w:ind w:firstLine="600"/>
        <w:jc w:val="left"/>
        <w:rPr>
          <w:rFonts w:ascii="华文楷体" w:hAnsi="华文楷体" w:eastAsia="华文楷体"/>
          <w:b/>
          <w:bCs/>
          <w:color w:val="auto"/>
          <w:sz w:val="30"/>
        </w:rPr>
      </w:pPr>
      <w:bookmarkStart w:id="1" w:name="_GoBack"/>
      <w:bookmarkEnd w:id="1"/>
      <w:r>
        <w:rPr>
          <w:rFonts w:hint="eastAsia" w:ascii="华文楷体" w:hAnsi="华文楷体" w:eastAsia="华文楷体"/>
          <w:b/>
          <w:bCs/>
          <w:color w:val="auto"/>
          <w:sz w:val="30"/>
        </w:rPr>
        <w:t>（二）赛位主要专业软件清单</w:t>
      </w:r>
    </w:p>
    <w:tbl>
      <w:tblPr>
        <w:tblStyle w:val="6"/>
        <w:tblW w:w="87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79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7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/>
                <w:b/>
                <w:bCs/>
                <w:color w:val="auto"/>
                <w:sz w:val="24"/>
              </w:rPr>
              <w:t>软件名称与版本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exac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1</w:t>
            </w:r>
          </w:p>
        </w:tc>
        <w:tc>
          <w:tcPr>
            <w:tcW w:w="7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left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Win7操作系统（64位）；WPS Office 2018中文版；搜狗拼音输入法、搜狗五笔输入法。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2</w:t>
            </w:r>
          </w:p>
        </w:tc>
        <w:tc>
          <w:tcPr>
            <w:tcW w:w="7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left"/>
              <w:rPr>
                <w:rFonts w:hint="default" w:ascii="仿宋_GB2312" w:hAnsi="仿宋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编程及仿真软件JDSoft_SurfMill 9.</w:t>
            </w:r>
            <w:r>
              <w:rPr>
                <w:rFonts w:hint="eastAsia" w:ascii="仿宋_GB2312" w:hAnsi="仿宋" w:eastAsia="仿宋_GB2312"/>
                <w:color w:val="auto"/>
                <w:sz w:val="24"/>
                <w:lang w:val="en-US" w:eastAsia="zh-CN"/>
              </w:rPr>
              <w:t>5、数字化管控软件JDSoft ShopWorks 1.0</w:t>
            </w:r>
          </w:p>
        </w:tc>
      </w:tr>
    </w:tbl>
    <w:p>
      <w:pPr>
        <w:pStyle w:val="3"/>
        <w:spacing w:line="540" w:lineRule="exact"/>
        <w:ind w:firstLine="585"/>
        <w:rPr>
          <w:rFonts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八、成绩评定</w:t>
      </w:r>
    </w:p>
    <w:p>
      <w:pPr>
        <w:snapToGrid w:val="0"/>
        <w:spacing w:line="540" w:lineRule="exact"/>
        <w:ind w:firstLine="600" w:firstLineChars="200"/>
        <w:rPr>
          <w:rFonts w:ascii="Arial Narrow" w:hAnsi="Arial Narrow" w:eastAsia="仿宋_GB2312" w:cs="Arial"/>
          <w:color w:val="auto"/>
          <w:sz w:val="30"/>
          <w:szCs w:val="30"/>
        </w:rPr>
      </w:pPr>
      <w:bookmarkStart w:id="0" w:name="_Hlk15306824"/>
      <w:r>
        <w:rPr>
          <w:rFonts w:hint="eastAsia" w:ascii="Arial Narrow" w:hAnsi="Arial Narrow" w:eastAsia="仿宋_GB2312" w:cs="Arial"/>
          <w:color w:val="auto"/>
          <w:sz w:val="30"/>
          <w:szCs w:val="30"/>
        </w:rPr>
        <w:t>公开赛项评分标准和评分方式，赛项最终得分按百分制计分。成绩评定必须在公开、公平、公正、独立、透明的条件下进行。</w:t>
      </w:r>
    </w:p>
    <w:p>
      <w:pPr>
        <w:spacing w:line="360" w:lineRule="auto"/>
        <w:ind w:firstLine="600" w:firstLineChars="200"/>
        <w:rPr>
          <w:rFonts w:ascii="楷体" w:hAnsi="楷体" w:eastAsia="楷体" w:cs="仿宋"/>
          <w:color w:val="auto"/>
          <w:sz w:val="30"/>
          <w:szCs w:val="30"/>
        </w:rPr>
      </w:pPr>
      <w:r>
        <w:rPr>
          <w:rFonts w:hint="eastAsia" w:ascii="楷体" w:hAnsi="楷体" w:eastAsia="楷体" w:cs="仿宋"/>
          <w:color w:val="auto"/>
          <w:sz w:val="30"/>
          <w:szCs w:val="30"/>
        </w:rPr>
        <w:t>（一）评分原则</w:t>
      </w:r>
    </w:p>
    <w:p>
      <w:pPr>
        <w:snapToGrid w:val="0"/>
        <w:spacing w:line="560" w:lineRule="exact"/>
        <w:ind w:firstLine="600"/>
        <w:jc w:val="left"/>
        <w:rPr>
          <w:rFonts w:ascii="仿宋_GB2312" w:eastAsia="仿宋_GB2312"/>
          <w:color w:val="auto"/>
          <w:sz w:val="30"/>
        </w:rPr>
      </w:pPr>
      <w:r>
        <w:rPr>
          <w:rFonts w:hint="eastAsia" w:ascii="仿宋_GB2312" w:eastAsia="仿宋_GB2312"/>
          <w:color w:val="auto"/>
          <w:sz w:val="30"/>
        </w:rPr>
        <w:t>采用过程评价与结果评价相结合、能力评价与职业素养评价相结合的方式。为了保证评判“公平、公正、公开”，采取以下措施：</w:t>
      </w:r>
    </w:p>
    <w:p>
      <w:pPr>
        <w:snapToGrid w:val="0"/>
        <w:spacing w:line="560" w:lineRule="exact"/>
        <w:ind w:firstLine="600"/>
        <w:jc w:val="left"/>
        <w:rPr>
          <w:rFonts w:ascii="仿宋_GB2312" w:eastAsia="仿宋_GB2312"/>
          <w:color w:val="auto"/>
          <w:sz w:val="30"/>
        </w:rPr>
      </w:pPr>
      <w:r>
        <w:rPr>
          <w:rFonts w:hint="eastAsia" w:ascii="仿宋_GB2312" w:eastAsia="仿宋_GB2312"/>
          <w:color w:val="auto"/>
          <w:sz w:val="30"/>
        </w:rPr>
        <w:t>1.赛前一个月公开样题一套，公布在机械工业发展中心网页（www.cmedc.com），赛题与样题偏差不超过30%。</w:t>
      </w:r>
    </w:p>
    <w:p>
      <w:pPr>
        <w:snapToGrid w:val="0"/>
        <w:spacing w:line="560" w:lineRule="exact"/>
        <w:ind w:firstLine="600"/>
        <w:jc w:val="left"/>
        <w:rPr>
          <w:rFonts w:ascii="仿宋_GB2312" w:eastAsia="仿宋_GB2312"/>
          <w:color w:val="auto"/>
          <w:sz w:val="30"/>
        </w:rPr>
      </w:pPr>
      <w:r>
        <w:rPr>
          <w:rFonts w:hint="eastAsia" w:ascii="仿宋_GB2312" w:eastAsia="仿宋_GB2312"/>
          <w:color w:val="auto"/>
          <w:sz w:val="30"/>
        </w:rPr>
        <w:t>2.技术人员赛前统一调试各比赛设备，保证技术平台条件一致。</w:t>
      </w:r>
    </w:p>
    <w:p>
      <w:pPr>
        <w:snapToGrid w:val="0"/>
        <w:spacing w:line="560" w:lineRule="exact"/>
        <w:ind w:firstLine="600"/>
        <w:jc w:val="left"/>
        <w:rPr>
          <w:rFonts w:ascii="仿宋_GB2312" w:eastAsia="仿宋_GB2312"/>
          <w:color w:val="auto"/>
          <w:sz w:val="30"/>
        </w:rPr>
      </w:pPr>
      <w:r>
        <w:rPr>
          <w:rFonts w:hint="eastAsia" w:ascii="仿宋_GB2312" w:eastAsia="仿宋_GB2312"/>
          <w:color w:val="auto"/>
          <w:sz w:val="30"/>
        </w:rPr>
        <w:t>3.裁判队伍赛前封闭培训，统一评判标准。</w:t>
      </w:r>
    </w:p>
    <w:p>
      <w:pPr>
        <w:snapToGrid w:val="0"/>
        <w:spacing w:line="560" w:lineRule="exact"/>
        <w:ind w:firstLine="600"/>
        <w:jc w:val="left"/>
        <w:rPr>
          <w:rFonts w:ascii="仿宋_GB2312" w:eastAsia="仿宋_GB2312"/>
          <w:color w:val="auto"/>
          <w:sz w:val="30"/>
        </w:rPr>
      </w:pPr>
      <w:r>
        <w:rPr>
          <w:rFonts w:hint="eastAsia" w:ascii="仿宋_GB2312" w:eastAsia="仿宋_GB2312"/>
          <w:color w:val="auto"/>
          <w:sz w:val="30"/>
        </w:rPr>
        <w:t>4.工件测量结果由三坐标测量机等进行检测。</w:t>
      </w:r>
    </w:p>
    <w:p>
      <w:pPr>
        <w:snapToGrid w:val="0"/>
        <w:spacing w:line="560" w:lineRule="exact"/>
        <w:ind w:firstLine="600"/>
        <w:jc w:val="left"/>
        <w:rPr>
          <w:rFonts w:ascii="仿宋_GB2312" w:eastAsia="仿宋_GB2312"/>
          <w:color w:val="auto"/>
          <w:sz w:val="30"/>
        </w:rPr>
      </w:pPr>
      <w:r>
        <w:rPr>
          <w:rFonts w:hint="eastAsia" w:ascii="仿宋_GB2312" w:eastAsia="仿宋_GB2312"/>
          <w:color w:val="auto"/>
          <w:sz w:val="30"/>
        </w:rPr>
        <w:t>5.加强试题保密工作。</w:t>
      </w:r>
    </w:p>
    <w:bookmarkEnd w:id="0"/>
    <w:p>
      <w:pPr>
        <w:spacing w:line="360" w:lineRule="auto"/>
        <w:ind w:firstLine="600" w:firstLineChars="200"/>
        <w:rPr>
          <w:rFonts w:ascii="楷体" w:hAnsi="楷体" w:eastAsia="楷体" w:cs="仿宋"/>
          <w:color w:val="auto"/>
          <w:sz w:val="30"/>
          <w:szCs w:val="30"/>
        </w:rPr>
      </w:pPr>
      <w:r>
        <w:rPr>
          <w:rFonts w:hint="eastAsia" w:ascii="楷体" w:hAnsi="楷体" w:eastAsia="楷体" w:cs="仿宋"/>
          <w:color w:val="auto"/>
          <w:sz w:val="30"/>
          <w:szCs w:val="30"/>
        </w:rPr>
        <w:t>（二）评分细则</w:t>
      </w:r>
    </w:p>
    <w:p>
      <w:pPr>
        <w:snapToGrid w:val="0"/>
        <w:spacing w:line="560" w:lineRule="exact"/>
        <w:ind w:firstLine="600"/>
        <w:jc w:val="left"/>
        <w:rPr>
          <w:rFonts w:ascii="仿宋_GB2312" w:eastAsia="仿宋_GB2312"/>
          <w:b/>
          <w:bCs/>
          <w:color w:val="auto"/>
          <w:sz w:val="30"/>
        </w:rPr>
      </w:pPr>
      <w:r>
        <w:rPr>
          <w:rFonts w:hint="eastAsia" w:ascii="仿宋_GB2312" w:eastAsia="仿宋_GB2312"/>
          <w:color w:val="auto"/>
          <w:sz w:val="30"/>
        </w:rPr>
        <w:t>本赛项总成绩100分，具体分数配比如下表：</w:t>
      </w:r>
    </w:p>
    <w:p>
      <w:pPr>
        <w:snapToGrid w:val="0"/>
        <w:spacing w:line="560" w:lineRule="exact"/>
        <w:ind w:firstLine="480"/>
        <w:jc w:val="center"/>
        <w:rPr>
          <w:b/>
          <w:color w:val="auto"/>
        </w:rPr>
      </w:pPr>
      <w:r>
        <w:rPr>
          <w:rFonts w:hint="eastAsia" w:ascii="仿宋_GB2312" w:hAnsi="仿宋_GB2312" w:eastAsia="仿宋_GB2312"/>
          <w:color w:val="auto"/>
          <w:sz w:val="24"/>
        </w:rPr>
        <w:t>比赛现场完成工作任务评分标准表</w:t>
      </w:r>
    </w:p>
    <w:tbl>
      <w:tblPr>
        <w:tblStyle w:val="6"/>
        <w:tblW w:w="8364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708"/>
        <w:gridCol w:w="4678"/>
        <w:gridCol w:w="8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0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bCs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auto"/>
                <w:spacing w:val="-2"/>
                <w:sz w:val="24"/>
                <w:shd w:val="clear" w:color="auto" w:fill="auto"/>
              </w:rPr>
              <w:t>序号</w:t>
            </w:r>
          </w:p>
        </w:tc>
        <w:tc>
          <w:tcPr>
            <w:tcW w:w="1418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bCs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auto"/>
                <w:spacing w:val="-2"/>
                <w:sz w:val="24"/>
                <w:shd w:val="clear" w:color="auto" w:fill="auto"/>
              </w:rPr>
              <w:t>一级指标</w:t>
            </w:r>
          </w:p>
        </w:tc>
        <w:tc>
          <w:tcPr>
            <w:tcW w:w="708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bCs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auto"/>
                <w:spacing w:val="-2"/>
                <w:sz w:val="24"/>
                <w:shd w:val="clear" w:color="auto" w:fill="auto"/>
              </w:rPr>
              <w:t>比例</w:t>
            </w:r>
          </w:p>
        </w:tc>
        <w:tc>
          <w:tcPr>
            <w:tcW w:w="4678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bCs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auto"/>
                <w:spacing w:val="-2"/>
                <w:sz w:val="24"/>
                <w:shd w:val="clear" w:color="auto" w:fill="auto"/>
              </w:rPr>
              <w:t>二级指标</w:t>
            </w:r>
          </w:p>
        </w:tc>
        <w:tc>
          <w:tcPr>
            <w:tcW w:w="851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/>
                <w:b/>
                <w:bCs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auto"/>
                <w:spacing w:val="-2"/>
                <w:sz w:val="24"/>
                <w:shd w:val="clear" w:color="auto" w:fill="auto"/>
              </w:rPr>
              <w:t>分值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数控编程与仿真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1</w:t>
            </w: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val="en-US" w:eastAsia="zh-CN"/>
              </w:rPr>
              <w:t>0</w:t>
            </w:r>
            <w:r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%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加工</w:t>
            </w:r>
            <w:r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仿真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val="en-US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09" w:type="dxa"/>
            <w:tcBorders>
              <w:top w:val="single" w:color="auto" w:sz="4" w:space="0"/>
              <w:left w:val="single" w:color="000000" w:sz="12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</w:rPr>
              <w:t>五轴数控加工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  <w:lang w:val="en-US" w:eastAsia="zh-CN"/>
              </w:rPr>
              <w:t>60</w:t>
            </w:r>
            <w:r>
              <w:rPr>
                <w:rFonts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</w:rPr>
              <w:t>%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</w:rPr>
              <w:t>尺寸</w:t>
            </w: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  <w:lang w:eastAsia="zh-CN"/>
              </w:rPr>
              <w:t>精度</w:t>
            </w: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</w:rPr>
              <w:t>检测、</w:t>
            </w: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  <w:lang w:eastAsia="zh-CN"/>
              </w:rPr>
              <w:t>形位精度检测、</w:t>
            </w: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</w:rPr>
              <w:t>表面粗糙度检测</w:t>
            </w: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  <w:lang w:eastAsia="zh-CN"/>
              </w:rPr>
              <w:t>、外观评判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  <w:lang w:val="en-US" w:eastAsia="zh-CN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12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eastAsia="宋体"/>
                <w:color w:val="auto"/>
                <w:sz w:val="20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  <w:lang w:val="en-US" w:eastAsia="zh-CN"/>
              </w:rPr>
              <w:t>3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20"/>
                <w:highlight w:val="none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</w:rPr>
              <w:t>在机检测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</w:rPr>
              <w:t>1</w:t>
            </w: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  <w:lang w:val="en-US" w:eastAsia="zh-CN"/>
              </w:rPr>
              <w:t>5</w:t>
            </w:r>
            <w:r>
              <w:rPr>
                <w:rFonts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</w:rPr>
              <w:t>%</w:t>
            </w:r>
          </w:p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</w:rPr>
              <w:t>在机</w:t>
            </w: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  <w:lang w:eastAsia="zh-CN"/>
              </w:rPr>
              <w:t>检测</w:t>
            </w: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</w:rPr>
              <w:t>结果评判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eastAsia="宋体"/>
                <w:color w:val="auto"/>
                <w:sz w:val="20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12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  <w:lang w:val="en-US" w:eastAsia="zh-CN"/>
              </w:rPr>
              <w:t>4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  <w:lang w:eastAsia="zh-CN"/>
              </w:rPr>
              <w:t>装配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  <w:lang w:val="en-US" w:eastAsia="zh-CN"/>
              </w:rPr>
              <w:t>10</w:t>
            </w:r>
            <w:r>
              <w:rPr>
                <w:rFonts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</w:rPr>
              <w:t>%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  <w:lang w:val="en-US" w:eastAsia="zh-CN"/>
              </w:rPr>
              <w:t>结构完整性检测、顺畅性检测、装配体尺寸检测、输出轴跳动检测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highlight w:val="none"/>
                <w:shd w:val="clear" w:color="auto" w:fill="auto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709" w:type="dxa"/>
            <w:vMerge w:val="restart"/>
            <w:tcBorders>
              <w:top w:val="single" w:color="auto" w:sz="4" w:space="0"/>
              <w:left w:val="single" w:color="000000" w:sz="12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val="en-US" w:eastAsia="zh-CN"/>
              </w:rPr>
              <w:t>5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职业素养与操作安全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5</w:t>
            </w:r>
            <w:r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%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zCs w:val="22"/>
                <w:shd w:val="clear" w:color="auto" w:fill="auto"/>
              </w:rPr>
              <w:t>公平竞赛，遵守赛场纪律，服从裁判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709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14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7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zCs w:val="22"/>
                <w:shd w:val="clear" w:color="auto" w:fill="auto"/>
              </w:rPr>
              <w:t>现场工具摆放整齐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709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14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7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场地清洁，现场安全、文明生产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709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1418" w:type="dxa"/>
            <w:vMerge w:val="continue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708" w:type="dxa"/>
            <w:vMerge w:val="continue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遵守机床安全操作规程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2</w:t>
            </w:r>
          </w:p>
        </w:tc>
      </w:tr>
    </w:tbl>
    <w:p/>
    <w:p>
      <w:pPr>
        <w:snapToGrid w:val="0"/>
        <w:spacing w:line="540" w:lineRule="exact"/>
        <w:ind w:firstLine="600" w:firstLineChars="200"/>
        <w:rPr>
          <w:rFonts w:ascii="楷体" w:hAnsi="楷体" w:eastAsia="楷体" w:cs="仿宋"/>
          <w:color w:val="auto"/>
          <w:sz w:val="30"/>
          <w:szCs w:val="30"/>
        </w:rPr>
      </w:pPr>
      <w:r>
        <w:rPr>
          <w:rFonts w:hint="eastAsia" w:ascii="楷体" w:hAnsi="楷体" w:eastAsia="楷体" w:cs="仿宋"/>
          <w:color w:val="auto"/>
          <w:sz w:val="30"/>
          <w:szCs w:val="30"/>
        </w:rPr>
        <w:t>（三）奖项设置</w:t>
      </w:r>
    </w:p>
    <w:p>
      <w:pPr>
        <w:pStyle w:val="14"/>
        <w:tabs>
          <w:tab w:val="left" w:pos="425"/>
        </w:tabs>
        <w:spacing w:line="560" w:lineRule="exact"/>
        <w:ind w:firstLine="600" w:firstLineChars="200"/>
        <w:jc w:val="left"/>
        <w:outlineLvl w:val="2"/>
        <w:rPr>
          <w:rFonts w:ascii="仿宋_GB2312" w:hAnsi="宋体" w:eastAsia="仿宋_GB2312"/>
          <w:color w:val="auto"/>
          <w:sz w:val="30"/>
          <w:szCs w:val="30"/>
        </w:rPr>
      </w:pPr>
      <w:r>
        <w:rPr>
          <w:rFonts w:hint="eastAsia" w:ascii="仿宋_GB2312" w:hAnsi="宋体" w:eastAsia="仿宋_GB2312"/>
          <w:color w:val="auto"/>
          <w:sz w:val="30"/>
          <w:szCs w:val="30"/>
        </w:rPr>
        <w:t>1.赛项设团体</w:t>
      </w:r>
      <w:r>
        <w:rPr>
          <w:rFonts w:ascii="仿宋_GB2312" w:hAnsi="宋体" w:eastAsia="仿宋_GB2312"/>
          <w:color w:val="auto"/>
          <w:sz w:val="30"/>
          <w:szCs w:val="30"/>
        </w:rPr>
        <w:t>一、二、三等奖。</w:t>
      </w:r>
      <w:r>
        <w:rPr>
          <w:rFonts w:hint="eastAsia" w:ascii="仿宋_GB2312" w:hAnsi="宋体" w:eastAsia="仿宋_GB2312"/>
          <w:color w:val="auto"/>
          <w:sz w:val="30"/>
          <w:szCs w:val="30"/>
        </w:rPr>
        <w:t>按照竞赛总成绩由高到低排序，</w:t>
      </w:r>
      <w:r>
        <w:rPr>
          <w:rFonts w:ascii="仿宋_GB2312" w:hAnsi="宋体" w:eastAsia="仿宋_GB2312"/>
          <w:color w:val="auto"/>
          <w:sz w:val="30"/>
          <w:szCs w:val="30"/>
        </w:rPr>
        <w:t>以实际参赛队总数为基数，一、二、三等奖获奖比例分别为10%、2</w:t>
      </w:r>
      <w:r>
        <w:rPr>
          <w:rFonts w:hint="eastAsia" w:ascii="仿宋_GB2312" w:hAnsi="宋体" w:eastAsia="仿宋_GB2312"/>
          <w:color w:val="auto"/>
          <w:sz w:val="30"/>
          <w:szCs w:val="30"/>
        </w:rPr>
        <w:t>5</w:t>
      </w:r>
      <w:r>
        <w:rPr>
          <w:rFonts w:ascii="仿宋_GB2312" w:hAnsi="宋体" w:eastAsia="仿宋_GB2312"/>
          <w:color w:val="auto"/>
          <w:sz w:val="30"/>
          <w:szCs w:val="30"/>
        </w:rPr>
        <w:t>%、3</w:t>
      </w:r>
      <w:r>
        <w:rPr>
          <w:rFonts w:hint="eastAsia" w:ascii="仿宋_GB2312" w:hAnsi="宋体" w:eastAsia="仿宋_GB2312"/>
          <w:color w:val="auto"/>
          <w:sz w:val="30"/>
          <w:szCs w:val="30"/>
        </w:rPr>
        <w:t>5</w:t>
      </w:r>
      <w:r>
        <w:rPr>
          <w:rFonts w:ascii="仿宋_GB2312" w:hAnsi="宋体" w:eastAsia="仿宋_GB2312"/>
          <w:color w:val="auto"/>
          <w:sz w:val="30"/>
          <w:szCs w:val="30"/>
        </w:rPr>
        <w:t>%（小数点后四舍五入）。</w:t>
      </w:r>
      <w:r>
        <w:rPr>
          <w:rFonts w:hint="eastAsia" w:ascii="仿宋_GB2312" w:hAnsi="宋体" w:eastAsia="仿宋_GB2312"/>
          <w:color w:val="auto"/>
          <w:sz w:val="30"/>
          <w:szCs w:val="30"/>
        </w:rPr>
        <w:t>当总分相同时，取并列名次。</w:t>
      </w:r>
    </w:p>
    <w:p>
      <w:pPr>
        <w:snapToGrid w:val="0"/>
        <w:spacing w:line="540" w:lineRule="exact"/>
        <w:ind w:firstLine="600" w:firstLineChars="200"/>
        <w:rPr>
          <w:rFonts w:hint="eastAsia" w:ascii="仿宋_GB2312" w:hAnsi="仿宋_GB2312" w:eastAsia="仿宋_GB2312" w:cs="仿宋_GB2312"/>
          <w:bCs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</w:rPr>
        <w:t>2.获得团体一等奖参赛队的指导教师，由主办方授予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shd w:val="clear"/>
        </w:rPr>
        <w:t>“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highlight w:val="none"/>
          <w:shd w:val="clear"/>
        </w:rPr>
        <w:t>20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highlight w:val="none"/>
          <w:shd w:val="clear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highlight w:val="none"/>
          <w:shd w:val="clear"/>
        </w:rPr>
        <w:t>年度机械行业职业教育技能大赛优秀指导教师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shd w:val="clear"/>
        </w:rPr>
        <w:t>”，并颁发荣誉证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</w:rPr>
        <w:t>书。</w:t>
      </w:r>
    </w:p>
    <w:p>
      <w:pPr>
        <w:snapToGrid w:val="0"/>
        <w:spacing w:line="540" w:lineRule="exact"/>
        <w:ind w:firstLine="602" w:firstLineChars="200"/>
        <w:rPr>
          <w:rFonts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九、赛项安全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（一）赛场所有人员（赛场管理与组织人员、裁判员、参赛员以及观摩人员）不得在竞赛现场内外吸烟，不听劝阻者给予通报批评或清退竞赛现场，造成严重后果的将依法处理。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（二）未经允许不得使用和移动竞赛场内的任何设施设备（包括消防器材等），工具使用后放回原处。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（三）选手在竞赛中必须遵守赛场的各项规章制度和操作规程，安全、合理的使用各种设施设备和工具，出现严重违章操作加工设备的，裁判视情节轻重进行批评和终止竞赛。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（四）选手参加实际操作竞赛前，应由参赛校进行安全教育。竞赛中如发现问题应及时解决，无法解决的问题应及时向裁判员报告，裁判员视情况予以判定，并协调处理。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（五）参赛选手不得触动非竞赛用仪器设备，对竞赛仪器设备造成损坏，由当事人单位承担赔偿责任（视情节而定），并通报批评；参赛选手若出现恶意破坏仪器设备等情节严重者将依法处理。</w:t>
      </w:r>
    </w:p>
    <w:p>
      <w:pPr>
        <w:pStyle w:val="3"/>
        <w:spacing w:line="540" w:lineRule="exact"/>
        <w:ind w:firstLine="585"/>
        <w:rPr>
          <w:rFonts w:ascii="Arial Narrow" w:hAnsi="Arial Narrow" w:eastAsia="仿宋_GB2312" w:cs="Arial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（六）参赛队竞赛期间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自行配备符合安全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eastAsia="zh-CN"/>
        </w:rPr>
        <w:t>作业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要求的工作服、安全帽和绝缘鞋等，并着承办单位统一提供的大赛马甲。安全帽、工装裤和绝缘鞋不允许出现院校名称，以及其他与院校有关标识，具体由裁判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员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决定是否符合竞赛使用，如违反规定视为违规处理。</w:t>
      </w:r>
    </w:p>
    <w:p>
      <w:pPr>
        <w:snapToGrid w:val="0"/>
        <w:spacing w:line="540" w:lineRule="exact"/>
        <w:ind w:firstLine="602" w:firstLineChars="200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十、竞赛须知</w:t>
      </w:r>
    </w:p>
    <w:p>
      <w:pPr>
        <w:pStyle w:val="2"/>
        <w:spacing w:line="540" w:lineRule="exact"/>
        <w:ind w:firstLine="585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（一）参赛队须知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参赛队在参赛期间应注意人身安全，并建议参赛队中的每位参赛学生赛前购买保险。</w:t>
      </w:r>
    </w:p>
    <w:p>
      <w:pPr>
        <w:pStyle w:val="2"/>
        <w:spacing w:line="540" w:lineRule="exact"/>
        <w:ind w:firstLine="585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（二）指导教师须知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1.比赛过程中，除选手、执行裁判员、现场工作人员和经批准的人员外，其他人员一律不得进入比赛现场；比赛结束后，参赛人员应根据指令及时退出比赛现场，对不听劝阻、无理取闹者追究责任，并通报批评。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2.选手参赛期间，指导教师应确保学生的人身安全；如遇紧急情况，应及时与主办方和所在院校报告，并听从工作人员的现场安排。</w:t>
      </w:r>
    </w:p>
    <w:p>
      <w:pPr>
        <w:pStyle w:val="2"/>
        <w:spacing w:line="540" w:lineRule="exact"/>
        <w:ind w:firstLine="585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（三）参赛选手须知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1.参赛选手应遵守比赛规则，尊重裁判、赛场工作人员和其他参赛选手，自觉遵守赛场秩序，服从管理。不得辱骂他人，不得打架斗殴。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2.参赛选手应佩戴参赛证，带齐身份证、注册的学生证。在赛场的着装，应符合职业要求。在赛场的表现，应体现自己良好的职业习惯和职业素养。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3.选手在竞赛过程中不得擅自离开赛场。如有特殊情况，须经裁判人员同意。选手休息、饮水、上洗手间等不安排专门用时，统一计在竞赛时间内。竞赛计时以赛场设置的时钟为准。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4.竞赛期间，选手不得将手机等通信工具带入赛场，未经检验的工具、电子存储器件，一律不能进入赛场。非同组选手之间不得以任何方式传递信息，如传递纸条、用手势表达信息、用暗语交换信息等。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5.爱护赛场提供的器材，不得故意损坏设备和仪器。比赛中参赛选手须严格遵守相关操作规程，确保人身及设备安全，并接受裁判员的监督和警示。因工具选择或使用不当，造成零件损坏、工伤事故或影响他人比赛，要酌情扣分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6.遇事应先举手示意，并与裁判人员协商，按裁判人员的意见办理。比赛过程中需要去洗手间，应报告现场裁判，由裁判或赛场工作人员陪同离开赛场。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7.完成竞赛任务后，不得与其他选手讨论，不得旁窥其他选手的操作。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8.不乱摆放工具，不乱丢杂物，完成竞赛任务后清洁赛位、工具、线头、废弃物品，不得遗留在赛位上。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9.完成赛项任务要在比赛结束前离开赛场的参赛选手，需同现场裁判示意，在赛场记录上填写离场时间并签赛位号确认后，方可离开赛场到指定区域等候，离开赛场后不可再次进入。未完成工作任务，因病或其他原因需要终止比赛离开赛场，需经裁判长同意，在赛场记录表的相应栏目填写离场原因、离场时间并签赛位号确认后，方可离开；离开后，不能再次进入赛场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10.裁判发出停止比赛的指令后，选手应立即停止操作，在现场裁判的指挥下离开赛场到达指定的区域等候评分。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11.如对裁判员的执裁有异议，可在2小时内由领队向大赛仲裁以书面形式提出申述。</w:t>
      </w:r>
    </w:p>
    <w:p>
      <w:pPr>
        <w:pStyle w:val="2"/>
        <w:spacing w:line="540" w:lineRule="exact"/>
        <w:ind w:firstLine="585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（四）工作人员须知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1.工作人员必须服从赛项组委会统一指挥，佩戴工作人员标识，认真履行职责，做好服务赛场、服务选手的工作。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2.工作人员按照分工准时上岗，不得擅自离岗，应认真履行各自的工作职责，保证竞赛工作的顺利进行。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3.工作人员应在规定的区域内工作，未经许可，不得擅自进入竞赛场地。如需进场，需经过裁判长同意，核准证件，由裁判跟随入场。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4.如遇突发事件，须及时向裁判长报告，同时做好疏导工作，避免重大事故发生，确保竞赛圆满成功。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5.任何人不得以任何方式暗示、指导、帮助参赛选手，对造成后果的，视情节轻重酌情扣除参赛选手成绩。如造成竞赛程序无法继续进行，由赛项组委会视情节轻重，给予通报批评或停止工作，并通知其所在单位做出相应处理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6.所有人员在赛场内不得喧哗，不得有影响其他选手完成工作任务的行为。</w:t>
      </w:r>
    </w:p>
    <w:p>
      <w:pPr>
        <w:pStyle w:val="3"/>
        <w:spacing w:line="540" w:lineRule="exact"/>
        <w:ind w:firstLine="585"/>
        <w:rPr>
          <w:rFonts w:ascii="Arial Narrow" w:hAnsi="Arial Narrow" w:eastAsia="仿宋_GB2312" w:cs="Arial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7.工作人员需认真做好赛场服务，并签名确认自己的责任。</w:t>
      </w:r>
    </w:p>
    <w:p>
      <w:pPr>
        <w:snapToGrid w:val="0"/>
        <w:spacing w:line="540" w:lineRule="exact"/>
        <w:ind w:firstLine="602" w:firstLineChars="200"/>
        <w:rPr>
          <w:rFonts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十一、申诉与仲裁</w:t>
      </w:r>
    </w:p>
    <w:p>
      <w:pPr>
        <w:snapToGrid w:val="0"/>
        <w:spacing w:line="540" w:lineRule="exact"/>
        <w:ind w:firstLine="602" w:firstLineChars="200"/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（一）申诉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1.参赛队对不符合竞赛规定的设备、工具、软件，有失公正的评判、奖励，以及对工作人员的违规行为等均可提出申诉。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2.申诉应在竞赛结束后2小时内提出，超过时效将不予受理。申诉时，应按照规定的程序由参赛队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领队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向相应赛项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监督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仲裁组递交书面申诉报告。报告应对申诉事件的现象、发生的时间、涉及到的人员、申诉依据与理由等如实叙述。事实依据不充分、仅凭主观臆断的申诉不予受理,但须说明原因。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3.赛项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监督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仲裁组收到申诉报告后，应根据申诉事由进行审查，6小时内书面告知申诉处理结果。受理申诉的，须通知申诉方举办听证会的时间和地点。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4.申诉人不得无故拒收处理结果，不允许采取过激行为，否则视为放弃申诉。</w:t>
      </w:r>
    </w:p>
    <w:p>
      <w:pPr>
        <w:snapToGrid w:val="0"/>
        <w:spacing w:line="540" w:lineRule="exact"/>
        <w:ind w:firstLine="602" w:firstLineChars="200"/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（二）仲裁</w:t>
      </w:r>
    </w:p>
    <w:p>
      <w:pPr>
        <w:snapToGrid w:val="0"/>
        <w:spacing w:line="54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赛项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监督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仲裁组接受由代表队提出的对裁判结果的申诉。赛项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监督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仲裁组在接到申诉后的2小时内组织复议，并及时反馈复议结果。赛项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监督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仲裁组的裁定为最终裁定。</w:t>
      </w:r>
    </w:p>
    <w:p>
      <w:pPr>
        <w:snapToGrid w:val="0"/>
        <w:spacing w:line="540" w:lineRule="exact"/>
        <w:ind w:firstLine="602" w:firstLineChars="200"/>
        <w:rPr>
          <w:rFonts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十二、大赛违规处理规定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（一）发现参赛选手不符合报名规定条件的、冒名顶替或弄虚作假的，报经大赛组委会核实批准后，一律取消该选手参赛资格，追究有关领导责任并通报批评。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（二）参赛选手有下列情节之一的，其相应项成绩计为零分：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1.竞赛期间违规透漏选手或其单位任何信息者。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2.在竞赛现场内与他人（队）交头接耳，或有偷看、暗示等作弊行为者。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3.竞赛期间使用通讯工具与他人联系者。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4.裁判根据大赛要求宣布竞赛结束后，仍强行作答或操作者。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5.不服从裁判员的裁决，扰乱竞赛秩序，影响竞赛进程，情节恶劣者。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6.其他违反大赛规则不听劝告者。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三）参赛选手如造成竞赛使用仪器设备损坏，视情节由当事人单位承担赔偿责任；参赛选手不得触动非竞赛用仪器设备，如造成仪器设备损坏，由当事人单位承担赔偿责任并通报批评；对恶意破坏仪器设备等情节严重者，送交司法机关处理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（四）各代表队非参赛人员若违反大赛纪律，将视情节轻重给予警告或通报批评。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（五）对违反大赛纪律的裁判员、工作人员，由各项目裁判长报经组委会核实批准后，视情节轻重给予警告或取消其裁判资格并通报所在单位。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（六）非大赛工作人员和参赛选手一律不得超越赛场指定的安全范围，不听劝阻造成后果者，追求其责任，并对其所在单位进行通报批评。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七）各参赛队（选手）须按照大赛规定和赛题要求递交竞赛成果，禁止在竞赛成果上做任何与竞赛无关的标记；除大赛规定选手填写的信息外，不能出现透露选手身份的任何信息，否则视为作弊，相应赛项的成绩为零。</w:t>
      </w:r>
    </w:p>
    <w:p>
      <w:pPr>
        <w:snapToGrid w:val="0"/>
        <w:spacing w:line="560" w:lineRule="exact"/>
        <w:ind w:firstLine="600" w:firstLineChars="200"/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八）参赛队（选手）参加实践操作竞赛前，应穿戴好防护用品并进行安全检查，如发现问题应及时解决，无法解决的问题应及时向裁判员报告；裁判员视情况予以判定，并协调处理。未执行有关安全规程而造成不良后果，由责任方承担相应责任；对选手未发现的安全隐患或违章操作行为，裁判员应及时指出并予以纠正，酌情扣除选手实践操作成绩并记录。</w:t>
      </w:r>
    </w:p>
    <w:p>
      <w:pPr>
        <w:snapToGrid w:val="0"/>
        <w:spacing w:line="560" w:lineRule="exact"/>
        <w:ind w:firstLine="600" w:firstLineChars="200"/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</w:pPr>
    </w:p>
    <w:p>
      <w:pPr>
        <w:snapToGrid w:val="0"/>
        <w:spacing w:line="560" w:lineRule="exact"/>
        <w:ind w:firstLine="600" w:firstLineChars="200"/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</w:pPr>
    </w:p>
    <w:p>
      <w:pPr>
        <w:snapToGrid w:val="0"/>
        <w:spacing w:line="560" w:lineRule="exact"/>
        <w:rPr>
          <w:rFonts w:hint="default" w:eastAsia="仿宋_GB2312"/>
          <w:b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0"/>
          <w:szCs w:val="30"/>
        </w:rPr>
        <w:t>附：样题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0"/>
          <w:szCs w:val="30"/>
          <w:lang w:val="en-US" w:eastAsia="zh-CN"/>
        </w:rPr>
        <w:t>见附件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hpgkvTAAAABQEAAA8AAAAAAAAAAQAgAAAAIgAAAGRy&#10;cy9kb3ducmV2LnhtbFBLAQIUABQAAAAIAIdO4kCA7zCa0QEAAKMDAAAOAAAAAAAAAAEAIAAAACIB&#10;AABkcnMvZTJvRG9jLnhtbFBLBQYAAAAABgAGAFkBAABl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vrgH0t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5NmIxNTQyODU3ZGZiMjhjZGJhZWZjNDBiYWRmM2MifQ=="/>
  </w:docVars>
  <w:rsids>
    <w:rsidRoot w:val="008766EE"/>
    <w:rsid w:val="000359DB"/>
    <w:rsid w:val="0017641F"/>
    <w:rsid w:val="001D71D3"/>
    <w:rsid w:val="002251A6"/>
    <w:rsid w:val="0025556E"/>
    <w:rsid w:val="00353335"/>
    <w:rsid w:val="00406DC0"/>
    <w:rsid w:val="00570AB4"/>
    <w:rsid w:val="00773F16"/>
    <w:rsid w:val="007B01C5"/>
    <w:rsid w:val="008766EE"/>
    <w:rsid w:val="008E524D"/>
    <w:rsid w:val="009228CE"/>
    <w:rsid w:val="00990A87"/>
    <w:rsid w:val="009A4A35"/>
    <w:rsid w:val="00A633CD"/>
    <w:rsid w:val="00B717DA"/>
    <w:rsid w:val="00D457E6"/>
    <w:rsid w:val="00DB0BF4"/>
    <w:rsid w:val="00DD03C1"/>
    <w:rsid w:val="00DD1CAB"/>
    <w:rsid w:val="00DF5C0B"/>
    <w:rsid w:val="00E42E3B"/>
    <w:rsid w:val="00E735CD"/>
    <w:rsid w:val="00F76572"/>
    <w:rsid w:val="00FE4A80"/>
    <w:rsid w:val="00FE59E1"/>
    <w:rsid w:val="0155726A"/>
    <w:rsid w:val="02656CEB"/>
    <w:rsid w:val="026B46C2"/>
    <w:rsid w:val="02F0687C"/>
    <w:rsid w:val="031E0629"/>
    <w:rsid w:val="03497409"/>
    <w:rsid w:val="034C54C1"/>
    <w:rsid w:val="03EB025D"/>
    <w:rsid w:val="04A96BDB"/>
    <w:rsid w:val="05032C8B"/>
    <w:rsid w:val="0653425F"/>
    <w:rsid w:val="06CA5F1C"/>
    <w:rsid w:val="06F432D1"/>
    <w:rsid w:val="07487196"/>
    <w:rsid w:val="07605FD0"/>
    <w:rsid w:val="088A3CCC"/>
    <w:rsid w:val="092A3C11"/>
    <w:rsid w:val="094912C6"/>
    <w:rsid w:val="0A460B51"/>
    <w:rsid w:val="0BA46C5E"/>
    <w:rsid w:val="0C63525F"/>
    <w:rsid w:val="0E2020FF"/>
    <w:rsid w:val="0ED14846"/>
    <w:rsid w:val="0F0E698D"/>
    <w:rsid w:val="0F706DA6"/>
    <w:rsid w:val="10B9264A"/>
    <w:rsid w:val="12013CCB"/>
    <w:rsid w:val="12D3458C"/>
    <w:rsid w:val="12DE1156"/>
    <w:rsid w:val="13384C27"/>
    <w:rsid w:val="15052761"/>
    <w:rsid w:val="179E6F7B"/>
    <w:rsid w:val="17BC4547"/>
    <w:rsid w:val="181F7414"/>
    <w:rsid w:val="18535470"/>
    <w:rsid w:val="1A52645B"/>
    <w:rsid w:val="1D342963"/>
    <w:rsid w:val="1DB010F5"/>
    <w:rsid w:val="1E1736AF"/>
    <w:rsid w:val="1EE00930"/>
    <w:rsid w:val="1EE043F0"/>
    <w:rsid w:val="202506CA"/>
    <w:rsid w:val="2071455E"/>
    <w:rsid w:val="20D655A5"/>
    <w:rsid w:val="21856AE8"/>
    <w:rsid w:val="22285B6E"/>
    <w:rsid w:val="22EF0102"/>
    <w:rsid w:val="234D7859"/>
    <w:rsid w:val="238B3555"/>
    <w:rsid w:val="24B01AF1"/>
    <w:rsid w:val="25EB4C6F"/>
    <w:rsid w:val="26601F8F"/>
    <w:rsid w:val="2692632A"/>
    <w:rsid w:val="26B9527E"/>
    <w:rsid w:val="26C52387"/>
    <w:rsid w:val="28FC13EA"/>
    <w:rsid w:val="29555E88"/>
    <w:rsid w:val="2AED59ED"/>
    <w:rsid w:val="2AF6202B"/>
    <w:rsid w:val="2B134496"/>
    <w:rsid w:val="2BC6113F"/>
    <w:rsid w:val="2C67626E"/>
    <w:rsid w:val="2CE329E2"/>
    <w:rsid w:val="2D9E3166"/>
    <w:rsid w:val="2E0A6A4D"/>
    <w:rsid w:val="2FC13434"/>
    <w:rsid w:val="30193AC5"/>
    <w:rsid w:val="308D309B"/>
    <w:rsid w:val="3196567C"/>
    <w:rsid w:val="3234366E"/>
    <w:rsid w:val="33381808"/>
    <w:rsid w:val="33D82A2B"/>
    <w:rsid w:val="36757AA4"/>
    <w:rsid w:val="37275BE4"/>
    <w:rsid w:val="378E6578"/>
    <w:rsid w:val="38E73C41"/>
    <w:rsid w:val="39671BAB"/>
    <w:rsid w:val="397853BE"/>
    <w:rsid w:val="39987C3E"/>
    <w:rsid w:val="39EE3028"/>
    <w:rsid w:val="3A2E4FE6"/>
    <w:rsid w:val="3C183FCE"/>
    <w:rsid w:val="3C7F78FB"/>
    <w:rsid w:val="3D4B1A69"/>
    <w:rsid w:val="3E47659D"/>
    <w:rsid w:val="402B4CE9"/>
    <w:rsid w:val="40AB565D"/>
    <w:rsid w:val="41060216"/>
    <w:rsid w:val="419A0E5F"/>
    <w:rsid w:val="41AE48C4"/>
    <w:rsid w:val="41E90CDE"/>
    <w:rsid w:val="42135195"/>
    <w:rsid w:val="42207375"/>
    <w:rsid w:val="427F4A2E"/>
    <w:rsid w:val="42D67803"/>
    <w:rsid w:val="432B2F9E"/>
    <w:rsid w:val="43742092"/>
    <w:rsid w:val="43E371C6"/>
    <w:rsid w:val="43E470E7"/>
    <w:rsid w:val="43E62E42"/>
    <w:rsid w:val="44C1779A"/>
    <w:rsid w:val="44C31164"/>
    <w:rsid w:val="45E06C4B"/>
    <w:rsid w:val="45E23683"/>
    <w:rsid w:val="468C4E75"/>
    <w:rsid w:val="46F653CE"/>
    <w:rsid w:val="472C6074"/>
    <w:rsid w:val="47852CF4"/>
    <w:rsid w:val="47945417"/>
    <w:rsid w:val="47A11473"/>
    <w:rsid w:val="48094737"/>
    <w:rsid w:val="4984685C"/>
    <w:rsid w:val="49AD3931"/>
    <w:rsid w:val="49BF001A"/>
    <w:rsid w:val="49F4463F"/>
    <w:rsid w:val="4C9A1D5C"/>
    <w:rsid w:val="4DFC2F26"/>
    <w:rsid w:val="4E1B1972"/>
    <w:rsid w:val="4EC26C73"/>
    <w:rsid w:val="4F283B94"/>
    <w:rsid w:val="503B6E20"/>
    <w:rsid w:val="50D76E98"/>
    <w:rsid w:val="50FC6E97"/>
    <w:rsid w:val="50FE2B5C"/>
    <w:rsid w:val="512118C0"/>
    <w:rsid w:val="52AB725B"/>
    <w:rsid w:val="52C66AA8"/>
    <w:rsid w:val="53291F90"/>
    <w:rsid w:val="53C069D8"/>
    <w:rsid w:val="53C27C24"/>
    <w:rsid w:val="541F459D"/>
    <w:rsid w:val="545B03E3"/>
    <w:rsid w:val="548D1964"/>
    <w:rsid w:val="56C501D7"/>
    <w:rsid w:val="56FD40AF"/>
    <w:rsid w:val="574D389C"/>
    <w:rsid w:val="579030F4"/>
    <w:rsid w:val="58A20D96"/>
    <w:rsid w:val="592C4D08"/>
    <w:rsid w:val="5A2F65AA"/>
    <w:rsid w:val="5B4D0553"/>
    <w:rsid w:val="5B8F5B57"/>
    <w:rsid w:val="5D642CDA"/>
    <w:rsid w:val="5DF83F9E"/>
    <w:rsid w:val="5F397625"/>
    <w:rsid w:val="5F73040C"/>
    <w:rsid w:val="60CC5995"/>
    <w:rsid w:val="610B2719"/>
    <w:rsid w:val="612C0729"/>
    <w:rsid w:val="61964179"/>
    <w:rsid w:val="62F27AFA"/>
    <w:rsid w:val="63C243AE"/>
    <w:rsid w:val="64447130"/>
    <w:rsid w:val="64512208"/>
    <w:rsid w:val="65082C11"/>
    <w:rsid w:val="65230709"/>
    <w:rsid w:val="654D748D"/>
    <w:rsid w:val="655F68C1"/>
    <w:rsid w:val="65E078CF"/>
    <w:rsid w:val="65E3546C"/>
    <w:rsid w:val="66426764"/>
    <w:rsid w:val="665964F9"/>
    <w:rsid w:val="66773D2C"/>
    <w:rsid w:val="68E72B8C"/>
    <w:rsid w:val="6AA42656"/>
    <w:rsid w:val="6AD024B9"/>
    <w:rsid w:val="6B117E3E"/>
    <w:rsid w:val="6BAD490C"/>
    <w:rsid w:val="6BD55D48"/>
    <w:rsid w:val="6E413B06"/>
    <w:rsid w:val="6EA872ED"/>
    <w:rsid w:val="6FC826A1"/>
    <w:rsid w:val="705326C5"/>
    <w:rsid w:val="719929F0"/>
    <w:rsid w:val="7589280D"/>
    <w:rsid w:val="75F25378"/>
    <w:rsid w:val="76483B2E"/>
    <w:rsid w:val="77247677"/>
    <w:rsid w:val="772F1141"/>
    <w:rsid w:val="77A41BAE"/>
    <w:rsid w:val="77C13ADB"/>
    <w:rsid w:val="782002EE"/>
    <w:rsid w:val="786A558A"/>
    <w:rsid w:val="7992267F"/>
    <w:rsid w:val="7BA1407C"/>
    <w:rsid w:val="7BC146D9"/>
    <w:rsid w:val="7C3B7881"/>
    <w:rsid w:val="7C5E5EB0"/>
    <w:rsid w:val="7D167675"/>
    <w:rsid w:val="7DF55C59"/>
    <w:rsid w:val="7FE5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0" w:beforeLines="0" w:beforeAutospacing="0" w:after="0" w:afterLines="0" w:afterAutospacing="0" w:line="240" w:lineRule="auto"/>
      <w:ind w:firstLine="723" w:firstLineChars="200"/>
      <w:outlineLvl w:val="1"/>
    </w:pPr>
    <w:rPr>
      <w:rFonts w:ascii="Arial" w:hAnsi="Arial" w:eastAsia="仿宋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0"/>
    <w:qFormat/>
    <w:uiPriority w:val="0"/>
    <w:rPr>
      <w:sz w:val="20"/>
      <w:szCs w:val="20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semiHidden/>
    <w:qFormat/>
    <w:uiPriority w:val="0"/>
    <w:rPr>
      <w:sz w:val="21"/>
      <w:szCs w:val="21"/>
    </w:rPr>
  </w:style>
  <w:style w:type="character" w:customStyle="1" w:styleId="9">
    <w:name w:val="页脚 Char"/>
    <w:link w:val="4"/>
    <w:qFormat/>
    <w:uiPriority w:val="0"/>
    <w:rPr>
      <w:sz w:val="18"/>
      <w:szCs w:val="18"/>
    </w:rPr>
  </w:style>
  <w:style w:type="character" w:customStyle="1" w:styleId="10">
    <w:name w:val="批注文字 Char"/>
    <w:basedOn w:val="7"/>
    <w:link w:val="3"/>
    <w:qFormat/>
    <w:uiPriority w:val="0"/>
    <w:rPr>
      <w:rFonts w:ascii="Calibri" w:hAnsi="Calibri" w:eastAsia="宋体" w:cs="Times New Roman"/>
      <w:sz w:val="20"/>
      <w:szCs w:val="20"/>
    </w:rPr>
  </w:style>
  <w:style w:type="character" w:customStyle="1" w:styleId="11">
    <w:name w:val="页脚 Char1"/>
    <w:basedOn w:val="7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眉 Char"/>
    <w:basedOn w:val="7"/>
    <w:link w:val="5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样式 黑体 小初 居中 首行缩进:  2 字符"/>
    <w:basedOn w:val="1"/>
    <w:qFormat/>
    <w:uiPriority w:val="0"/>
    <w:pPr>
      <w:jc w:val="center"/>
    </w:pPr>
    <w:rPr>
      <w:rFonts w:ascii="黑体" w:eastAsia="黑体" w:cs="宋体"/>
      <w:sz w:val="7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427</Words>
  <Characters>2436</Characters>
  <Lines>20</Lines>
  <Paragraphs>5</Paragraphs>
  <TotalTime>0</TotalTime>
  <ScaleCrop>false</ScaleCrop>
  <LinksUpToDate>false</LinksUpToDate>
  <CharactersWithSpaces>2858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2019-07-13T16:40:00Z</dcterms:created>
  <dc:creator>Administrator</dc:creator>
  <cp:lastModifiedBy>yzy</cp:lastModifiedBy>
  <cp:lastPrinted>2019-07-15T02:35:00Z</cp:lastPrinted>
  <dcterms:modified xsi:type="dcterms:W3CDTF">2023-11-21T00:30:32Z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87A735ABC5C04B2E93EAFCA59D67069E_13</vt:lpwstr>
  </property>
</Properties>
</file>